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天津市长芦盐业总公司</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天津市长芦盐业总公司</w:t>
      </w:r>
      <w:r>
        <w:rPr>
          <w:rFonts w:ascii="仿宋_GB2312" w:eastAsia="仿宋_GB2312" w:hint="eastAsia"/>
          <w:sz w:val="30"/>
          <w:szCs w:val="30"/>
        </w:rPr>
        <w:t xml:space="preserve">的主要职责是：</w:t>
      </w:r>
      <w:r>
        <w:rPr>
          <w:rFonts w:ascii="仿宋_GB2312" w:eastAsia="仿宋_GB2312" w:hint="eastAsia"/>
          <w:sz w:val="30"/>
          <w:szCs w:val="30"/>
        </w:rPr>
        <w:t xml:space="preserve">主要负责本部门离退休人员管理工作，财政拨款用于转制前离退休人员的基本支出</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天津市印刷技术研究所内设0个职能处室；下0个预算单位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天津市长芦盐业总公司</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天津市印刷技术研究所</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单位：天津市长芦盐业总公司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1,015,806.50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777,570.80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238,235.70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1,015,806.50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1,015,806.50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1,015,806.50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1,015,806.50</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单位：天津市长芦盐业总公司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1,015,806.50</w:t>
            </w:r>
          </w:p>
        </w:tc>
        <w:tc>
          <w:tcPr>
            <w:tcW w:w="1240" w:type="dxa"/>
            <w:tcBorders/>
            <w:vAlign w:val="center"/>
          </w:tcPr>
          <w:p>
            <w:pPr>
              <w:snapToGrid w:val="0"/>
              <w:jc w:val="right"/>
            </w:pPr>
            <w:r>
              <w:rPr>
                <w:rFonts w:ascii="宋体" w:eastAsia="宋体" w:hAnsi="宋体" w:cs="宋体"/>
                <w:b w:val="0"/>
                <w:i w:val="0"/>
                <w:color w:val="000000"/>
                <w:sz w:val="14"/>
              </w:rPr>
              <w:t xml:space="preserve">1,015,806.50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777,570.80</w:t>
            </w:r>
          </w:p>
        </w:tc>
        <w:tc>
          <w:tcPr>
            <w:tcW w:w="1240" w:type="dxa"/>
            <w:tcBorders/>
            <w:vAlign w:val="center"/>
          </w:tcPr>
          <w:p>
            <w:pPr>
              <w:snapToGrid w:val="0"/>
              <w:jc w:val="right"/>
            </w:pPr>
            <w:r>
              <w:rPr>
                <w:rFonts w:ascii="宋体" w:eastAsia="宋体" w:hAnsi="宋体" w:cs="宋体"/>
                <w:b w:val="0"/>
                <w:i w:val="0"/>
                <w:color w:val="000000"/>
                <w:sz w:val="14"/>
              </w:rPr>
              <w:t xml:space="preserve">777,570.80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777,570.80</w:t>
            </w:r>
          </w:p>
        </w:tc>
        <w:tc>
          <w:tcPr>
            <w:tcW w:w="1240" w:type="dxa"/>
            <w:tcBorders/>
            <w:vAlign w:val="center"/>
          </w:tcPr>
          <w:p>
            <w:pPr>
              <w:snapToGrid w:val="0"/>
              <w:jc w:val="right"/>
            </w:pPr>
            <w:r>
              <w:rPr>
                <w:rFonts w:ascii="宋体" w:eastAsia="宋体" w:hAnsi="宋体" w:cs="宋体"/>
                <w:b w:val="0"/>
                <w:i w:val="0"/>
                <w:color w:val="000000"/>
                <w:sz w:val="14"/>
              </w:rPr>
              <w:t xml:space="preserve">777,570.80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2080501</w:t>
            </w:r>
          </w:p>
        </w:tc>
        <w:tc>
          <w:tcPr>
            <w:tcW w:w="2520" w:type="dxa"/>
            <w:tcBorders/>
            <w:vAlign w:val="center"/>
          </w:tcPr>
          <w:p>
            <w:pPr>
              <w:snapToGrid w:val="0"/>
              <w:jc w:val="left"/>
            </w:pPr>
            <w:r>
              <w:rPr>
                <w:rFonts w:ascii="宋体" w:eastAsia="宋体" w:hAnsi="宋体" w:cs="宋体"/>
                <w:b w:val="0"/>
                <w:i w:val="0"/>
                <w:color w:val="000000"/>
                <w:sz w:val="14"/>
              </w:rPr>
              <w:t xml:space="preserve">行政单位离退休</w:t>
            </w:r>
          </w:p>
        </w:tc>
        <w:tc>
          <w:tcPr>
            <w:tcW w:w="1240" w:type="dxa"/>
            <w:tcBorders/>
            <w:vAlign w:val="center"/>
          </w:tcPr>
          <w:p>
            <w:pPr>
              <w:snapToGrid w:val="0"/>
              <w:jc w:val="right"/>
            </w:pPr>
            <w:r>
              <w:rPr>
                <w:rFonts w:ascii="宋体" w:eastAsia="宋体" w:hAnsi="宋体" w:cs="宋体"/>
                <w:b w:val="0"/>
                <w:i w:val="0"/>
                <w:color w:val="000000"/>
                <w:sz w:val="14"/>
              </w:rPr>
              <w:t xml:space="preserve">777,570.80</w:t>
            </w:r>
          </w:p>
        </w:tc>
        <w:tc>
          <w:tcPr>
            <w:tcW w:w="1240" w:type="dxa"/>
            <w:tcBorders/>
            <w:vAlign w:val="center"/>
          </w:tcPr>
          <w:p>
            <w:pPr>
              <w:snapToGrid w:val="0"/>
              <w:jc w:val="right"/>
            </w:pPr>
            <w:r>
              <w:rPr>
                <w:rFonts w:ascii="宋体" w:eastAsia="宋体" w:hAnsi="宋体" w:cs="宋体"/>
                <w:b w:val="0"/>
                <w:i w:val="0"/>
                <w:color w:val="000000"/>
                <w:sz w:val="14"/>
              </w:rPr>
              <w:t xml:space="preserve">777,570.80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238,235.70</w:t>
            </w:r>
          </w:p>
        </w:tc>
        <w:tc>
          <w:tcPr>
            <w:tcW w:w="1240" w:type="dxa"/>
            <w:tcBorders/>
            <w:vAlign w:val="center"/>
          </w:tcPr>
          <w:p>
            <w:pPr>
              <w:snapToGrid w:val="0"/>
              <w:jc w:val="right"/>
            </w:pPr>
            <w:r>
              <w:rPr>
                <w:rFonts w:ascii="宋体" w:eastAsia="宋体" w:hAnsi="宋体" w:cs="宋体"/>
                <w:b w:val="0"/>
                <w:i w:val="0"/>
                <w:color w:val="000000"/>
                <w:sz w:val="14"/>
              </w:rPr>
              <w:t xml:space="preserve">238,235.70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238,235.70</w:t>
            </w:r>
          </w:p>
        </w:tc>
        <w:tc>
          <w:tcPr>
            <w:tcW w:w="1240" w:type="dxa"/>
            <w:tcBorders/>
            <w:vAlign w:val="center"/>
          </w:tcPr>
          <w:p>
            <w:pPr>
              <w:snapToGrid w:val="0"/>
              <w:jc w:val="right"/>
            </w:pPr>
            <w:r>
              <w:rPr>
                <w:rFonts w:ascii="宋体" w:eastAsia="宋体" w:hAnsi="宋体" w:cs="宋体"/>
                <w:b w:val="0"/>
                <w:i w:val="0"/>
                <w:color w:val="000000"/>
                <w:sz w:val="14"/>
              </w:rPr>
              <w:t xml:space="preserve">238,235.70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85,353.70</w:t>
            </w:r>
          </w:p>
        </w:tc>
        <w:tc>
          <w:tcPr>
            <w:tcW w:w="1240" w:type="dxa"/>
            <w:tcBorders/>
            <w:vAlign w:val="center"/>
          </w:tcPr>
          <w:p>
            <w:pPr>
              <w:snapToGrid w:val="0"/>
              <w:jc w:val="right"/>
            </w:pPr>
            <w:r>
              <w:rPr>
                <w:rFonts w:ascii="宋体" w:eastAsia="宋体" w:hAnsi="宋体" w:cs="宋体"/>
                <w:b w:val="0"/>
                <w:i w:val="0"/>
                <w:color w:val="000000"/>
                <w:sz w:val="14"/>
              </w:rPr>
              <w:t xml:space="preserve">85,353.70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152,882.00</w:t>
            </w:r>
          </w:p>
        </w:tc>
        <w:tc>
          <w:tcPr>
            <w:tcW w:w="1240" w:type="dxa"/>
            <w:tcBorders/>
            <w:vAlign w:val="center"/>
          </w:tcPr>
          <w:p>
            <w:pPr>
              <w:snapToGrid w:val="0"/>
              <w:jc w:val="right"/>
            </w:pPr>
            <w:r>
              <w:rPr>
                <w:rFonts w:ascii="宋体" w:eastAsia="宋体" w:hAnsi="宋体" w:cs="宋体"/>
                <w:b w:val="0"/>
                <w:i w:val="0"/>
                <w:color w:val="000000"/>
                <w:sz w:val="14"/>
              </w:rPr>
              <w:t xml:space="preserve">152,882.00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单位：天津市长芦盐业总公司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1,015,806.50</w:t>
            </w:r>
          </w:p>
        </w:tc>
        <w:tc>
          <w:tcPr>
            <w:tcW w:w="580" w:type="dxa"/>
            <w:tcBorders/>
            <w:vAlign w:val="center"/>
          </w:tcPr>
          <w:p>
            <w:pPr>
              <w:snapToGrid w:val="0"/>
              <w:jc w:val="right"/>
            </w:pPr>
            <w:r>
              <w:rPr>
                <w:rFonts w:ascii="宋体" w:eastAsia="宋体" w:hAnsi="宋体" w:cs="宋体"/>
                <w:b w:val="0"/>
                <w:i w:val="0"/>
                <w:color w:val="000000"/>
                <w:sz w:val="9"/>
              </w:rPr>
              <w:t xml:space="preserve">1,015,806.50</w:t>
            </w:r>
          </w:p>
        </w:tc>
        <w:tc>
          <w:tcPr>
            <w:tcW w:w="580" w:type="dxa"/>
            <w:tcBorders/>
            <w:vAlign w:val="center"/>
          </w:tcPr>
          <w:p>
            <w:pPr>
              <w:snapToGrid w:val="0"/>
              <w:jc w:val="right"/>
            </w:pPr>
            <w:r>
              <w:rPr>
                <w:rFonts w:ascii="宋体" w:eastAsia="宋体" w:hAnsi="宋体" w:cs="宋体"/>
                <w:b w:val="0"/>
                <w:i w:val="0"/>
                <w:color w:val="000000"/>
                <w:sz w:val="9"/>
              </w:rPr>
              <w:t xml:space="preserve">1,015,806.50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705913</w:t>
            </w:r>
          </w:p>
        </w:tc>
        <w:tc>
          <w:tcPr>
            <w:tcW w:w="1520" w:type="dxa"/>
            <w:tcBorders/>
            <w:vAlign w:val="center"/>
          </w:tcPr>
          <w:p>
            <w:pPr>
              <w:snapToGrid w:val="0"/>
              <w:jc w:val="center"/>
            </w:pPr>
            <w:r>
              <w:rPr>
                <w:rFonts w:ascii="宋体" w:eastAsia="宋体" w:hAnsi="宋体" w:cs="宋体"/>
                <w:b w:val="0"/>
                <w:i w:val="0"/>
                <w:color w:val="000000"/>
                <w:sz w:val="9"/>
              </w:rPr>
              <w:t xml:space="preserve">天津市长芦盐业总公司</w:t>
            </w:r>
          </w:p>
        </w:tc>
        <w:tc>
          <w:tcPr>
            <w:tcW w:w="580" w:type="dxa"/>
            <w:tcBorders/>
            <w:vAlign w:val="center"/>
          </w:tcPr>
          <w:p>
            <w:pPr>
              <w:snapToGrid w:val="0"/>
              <w:jc w:val="right"/>
            </w:pPr>
            <w:r>
              <w:rPr>
                <w:rFonts w:ascii="宋体" w:eastAsia="宋体" w:hAnsi="宋体" w:cs="宋体"/>
                <w:b w:val="0"/>
                <w:i w:val="0"/>
                <w:color w:val="000000"/>
                <w:sz w:val="9"/>
              </w:rPr>
              <w:t xml:space="preserve">1,015,806.50</w:t>
            </w:r>
          </w:p>
        </w:tc>
        <w:tc>
          <w:tcPr>
            <w:tcW w:w="580" w:type="dxa"/>
            <w:tcBorders/>
            <w:vAlign w:val="center"/>
          </w:tcPr>
          <w:p>
            <w:pPr>
              <w:snapToGrid w:val="0"/>
              <w:jc w:val="right"/>
            </w:pPr>
            <w:r>
              <w:rPr>
                <w:rFonts w:ascii="宋体" w:eastAsia="宋体" w:hAnsi="宋体" w:cs="宋体"/>
                <w:b w:val="0"/>
                <w:i w:val="0"/>
                <w:color w:val="000000"/>
                <w:sz w:val="9"/>
              </w:rPr>
              <w:t xml:space="preserve">1,015,806.50</w:t>
            </w:r>
          </w:p>
        </w:tc>
        <w:tc>
          <w:tcPr>
            <w:tcW w:w="580" w:type="dxa"/>
            <w:tcBorders/>
            <w:vAlign w:val="center"/>
          </w:tcPr>
          <w:p>
            <w:pPr>
              <w:snapToGrid w:val="0"/>
              <w:jc w:val="right"/>
            </w:pPr>
            <w:r>
              <w:rPr>
                <w:rFonts w:ascii="宋体" w:eastAsia="宋体" w:hAnsi="宋体" w:cs="宋体"/>
                <w:b w:val="0"/>
                <w:i w:val="0"/>
                <w:color w:val="000000"/>
                <w:sz w:val="9"/>
              </w:rPr>
              <w:t xml:space="preserve">1,015,806.50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单位：天津市长芦盐业总公司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1,015,806.50</w:t>
            </w:r>
          </w:p>
        </w:tc>
        <w:tc>
          <w:tcPr>
            <w:tcW w:w="1320" w:type="dxa"/>
            <w:tcBorders/>
            <w:vAlign w:val="center"/>
          </w:tcPr>
          <w:p>
            <w:pPr>
              <w:snapToGrid w:val="0"/>
              <w:jc w:val="right"/>
            </w:pPr>
            <w:r>
              <w:rPr>
                <w:rFonts w:ascii="宋体" w:eastAsia="宋体" w:hAnsi="宋体" w:cs="宋体"/>
                <w:b w:val="0"/>
                <w:i w:val="0"/>
                <w:color w:val="000000"/>
                <w:sz w:val="15"/>
              </w:rPr>
              <w:t xml:space="preserve">616,237.70</w:t>
            </w:r>
          </w:p>
        </w:tc>
        <w:tc>
          <w:tcPr>
            <w:tcW w:w="1320" w:type="dxa"/>
            <w:tcBorders/>
            <w:vAlign w:val="center"/>
          </w:tcPr>
          <w:p>
            <w:pPr>
              <w:snapToGrid w:val="0"/>
              <w:jc w:val="right"/>
            </w:pPr>
            <w:r>
              <w:rPr>
                <w:rFonts w:ascii="宋体" w:eastAsia="宋体" w:hAnsi="宋体" w:cs="宋体"/>
                <w:b w:val="0"/>
                <w:i w:val="0"/>
                <w:color w:val="000000"/>
                <w:sz w:val="15"/>
              </w:rPr>
              <w:t xml:space="preserve">399,568.80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777,570.80</w:t>
            </w:r>
          </w:p>
        </w:tc>
        <w:tc>
          <w:tcPr>
            <w:tcW w:w="1320" w:type="dxa"/>
            <w:tcBorders/>
            <w:vAlign w:val="center"/>
          </w:tcPr>
          <w:p>
            <w:pPr>
              <w:snapToGrid w:val="0"/>
              <w:jc w:val="right"/>
            </w:pPr>
            <w:r>
              <w:rPr>
                <w:rFonts w:ascii="宋体" w:eastAsia="宋体" w:hAnsi="宋体" w:cs="宋体"/>
                <w:b w:val="0"/>
                <w:i w:val="0"/>
                <w:color w:val="000000"/>
                <w:sz w:val="15"/>
              </w:rPr>
              <w:t xml:space="preserve">378,002.00</w:t>
            </w:r>
          </w:p>
        </w:tc>
        <w:tc>
          <w:tcPr>
            <w:tcW w:w="1320" w:type="dxa"/>
            <w:tcBorders/>
            <w:vAlign w:val="center"/>
          </w:tcPr>
          <w:p>
            <w:pPr>
              <w:snapToGrid w:val="0"/>
              <w:jc w:val="right"/>
            </w:pPr>
            <w:r>
              <w:rPr>
                <w:rFonts w:ascii="宋体" w:eastAsia="宋体" w:hAnsi="宋体" w:cs="宋体"/>
                <w:b w:val="0"/>
                <w:i w:val="0"/>
                <w:color w:val="000000"/>
                <w:sz w:val="15"/>
              </w:rPr>
              <w:t xml:space="preserve">399,568.80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777,570.80</w:t>
            </w:r>
          </w:p>
        </w:tc>
        <w:tc>
          <w:tcPr>
            <w:tcW w:w="1320" w:type="dxa"/>
            <w:tcBorders/>
            <w:vAlign w:val="center"/>
          </w:tcPr>
          <w:p>
            <w:pPr>
              <w:snapToGrid w:val="0"/>
              <w:jc w:val="right"/>
            </w:pPr>
            <w:r>
              <w:rPr>
                <w:rFonts w:ascii="宋体" w:eastAsia="宋体" w:hAnsi="宋体" w:cs="宋体"/>
                <w:b w:val="0"/>
                <w:i w:val="0"/>
                <w:color w:val="000000"/>
                <w:sz w:val="15"/>
              </w:rPr>
              <w:t xml:space="preserve">378,002.00</w:t>
            </w:r>
          </w:p>
        </w:tc>
        <w:tc>
          <w:tcPr>
            <w:tcW w:w="1320" w:type="dxa"/>
            <w:tcBorders/>
            <w:vAlign w:val="center"/>
          </w:tcPr>
          <w:p>
            <w:pPr>
              <w:snapToGrid w:val="0"/>
              <w:jc w:val="right"/>
            </w:pPr>
            <w:r>
              <w:rPr>
                <w:rFonts w:ascii="宋体" w:eastAsia="宋体" w:hAnsi="宋体" w:cs="宋体"/>
                <w:b w:val="0"/>
                <w:i w:val="0"/>
                <w:color w:val="000000"/>
                <w:sz w:val="15"/>
              </w:rPr>
              <w:t xml:space="preserve">399,568.80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2080501</w:t>
            </w:r>
          </w:p>
        </w:tc>
        <w:tc>
          <w:tcPr>
            <w:tcW w:w="4400" w:type="dxa"/>
            <w:tcBorders/>
            <w:vAlign w:val="center"/>
          </w:tcPr>
          <w:p>
            <w:pPr>
              <w:snapToGrid w:val="0"/>
              <w:jc w:val="left"/>
            </w:pPr>
            <w:r>
              <w:rPr>
                <w:rFonts w:ascii="宋体" w:eastAsia="宋体" w:hAnsi="宋体" w:cs="宋体"/>
                <w:b w:val="0"/>
                <w:i w:val="0"/>
                <w:color w:val="000000"/>
                <w:sz w:val="15"/>
              </w:rPr>
              <w:t xml:space="preserve">行政单位离退休</w:t>
            </w:r>
          </w:p>
        </w:tc>
        <w:tc>
          <w:tcPr>
            <w:tcW w:w="1320" w:type="dxa"/>
            <w:tcBorders/>
            <w:vAlign w:val="center"/>
          </w:tcPr>
          <w:p>
            <w:pPr>
              <w:snapToGrid w:val="0"/>
              <w:jc w:val="right"/>
            </w:pPr>
            <w:r>
              <w:rPr>
                <w:rFonts w:ascii="宋体" w:eastAsia="宋体" w:hAnsi="宋体" w:cs="宋体"/>
                <w:b w:val="0"/>
                <w:i w:val="0"/>
                <w:color w:val="000000"/>
                <w:sz w:val="15"/>
              </w:rPr>
              <w:t xml:space="preserve">777,570.80</w:t>
            </w:r>
          </w:p>
        </w:tc>
        <w:tc>
          <w:tcPr>
            <w:tcW w:w="1320" w:type="dxa"/>
            <w:tcBorders/>
            <w:vAlign w:val="center"/>
          </w:tcPr>
          <w:p>
            <w:pPr>
              <w:snapToGrid w:val="0"/>
              <w:jc w:val="right"/>
            </w:pPr>
            <w:r>
              <w:rPr>
                <w:rFonts w:ascii="宋体" w:eastAsia="宋体" w:hAnsi="宋体" w:cs="宋体"/>
                <w:b w:val="0"/>
                <w:i w:val="0"/>
                <w:color w:val="000000"/>
                <w:sz w:val="15"/>
              </w:rPr>
              <w:t xml:space="preserve">378,002.00</w:t>
            </w:r>
          </w:p>
        </w:tc>
        <w:tc>
          <w:tcPr>
            <w:tcW w:w="1320" w:type="dxa"/>
            <w:tcBorders/>
            <w:vAlign w:val="center"/>
          </w:tcPr>
          <w:p>
            <w:pPr>
              <w:snapToGrid w:val="0"/>
              <w:jc w:val="right"/>
            </w:pPr>
            <w:r>
              <w:rPr>
                <w:rFonts w:ascii="宋体" w:eastAsia="宋体" w:hAnsi="宋体" w:cs="宋体"/>
                <w:b w:val="0"/>
                <w:i w:val="0"/>
                <w:color w:val="000000"/>
                <w:sz w:val="15"/>
              </w:rPr>
              <w:t xml:space="preserve">399,568.80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238,235.70</w:t>
            </w:r>
          </w:p>
        </w:tc>
        <w:tc>
          <w:tcPr>
            <w:tcW w:w="1320" w:type="dxa"/>
            <w:tcBorders/>
            <w:vAlign w:val="center"/>
          </w:tcPr>
          <w:p>
            <w:pPr>
              <w:snapToGrid w:val="0"/>
              <w:jc w:val="right"/>
            </w:pPr>
            <w:r>
              <w:rPr>
                <w:rFonts w:ascii="宋体" w:eastAsia="宋体" w:hAnsi="宋体" w:cs="宋体"/>
                <w:b w:val="0"/>
                <w:i w:val="0"/>
                <w:color w:val="000000"/>
                <w:sz w:val="15"/>
              </w:rPr>
              <w:t xml:space="preserve">238,235.70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238,235.70</w:t>
            </w:r>
          </w:p>
        </w:tc>
        <w:tc>
          <w:tcPr>
            <w:tcW w:w="1320" w:type="dxa"/>
            <w:tcBorders/>
            <w:vAlign w:val="center"/>
          </w:tcPr>
          <w:p>
            <w:pPr>
              <w:snapToGrid w:val="0"/>
              <w:jc w:val="right"/>
            </w:pPr>
            <w:r>
              <w:rPr>
                <w:rFonts w:ascii="宋体" w:eastAsia="宋体" w:hAnsi="宋体" w:cs="宋体"/>
                <w:b w:val="0"/>
                <w:i w:val="0"/>
                <w:color w:val="000000"/>
                <w:sz w:val="15"/>
              </w:rPr>
              <w:t xml:space="preserve">238,235.70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85,353.70</w:t>
            </w:r>
          </w:p>
        </w:tc>
        <w:tc>
          <w:tcPr>
            <w:tcW w:w="1320" w:type="dxa"/>
            <w:tcBorders/>
            <w:vAlign w:val="center"/>
          </w:tcPr>
          <w:p>
            <w:pPr>
              <w:snapToGrid w:val="0"/>
              <w:jc w:val="right"/>
            </w:pPr>
            <w:r>
              <w:rPr>
                <w:rFonts w:ascii="宋体" w:eastAsia="宋体" w:hAnsi="宋体" w:cs="宋体"/>
                <w:b w:val="0"/>
                <w:i w:val="0"/>
                <w:color w:val="000000"/>
                <w:sz w:val="15"/>
              </w:rPr>
              <w:t xml:space="preserve">85,353.70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152,882.00</w:t>
            </w:r>
          </w:p>
        </w:tc>
        <w:tc>
          <w:tcPr>
            <w:tcW w:w="1320" w:type="dxa"/>
            <w:tcBorders/>
            <w:vAlign w:val="center"/>
          </w:tcPr>
          <w:p>
            <w:pPr>
              <w:snapToGrid w:val="0"/>
              <w:jc w:val="right"/>
            </w:pPr>
            <w:r>
              <w:rPr>
                <w:rFonts w:ascii="宋体" w:eastAsia="宋体" w:hAnsi="宋体" w:cs="宋体"/>
                <w:b w:val="0"/>
                <w:i w:val="0"/>
                <w:color w:val="000000"/>
                <w:sz w:val="15"/>
              </w:rPr>
              <w:t xml:space="preserve">152,882.00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单位：天津市长芦盐业总公司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1,015,806.50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777,570.80</w:t>
            </w:r>
          </w:p>
        </w:tc>
        <w:tc>
          <w:tcPr>
            <w:tcW w:w="1420" w:type="dxa"/>
            <w:tcBorders/>
            <w:vAlign w:val="center"/>
          </w:tcPr>
          <w:p>
            <w:pPr>
              <w:snapToGrid w:val="0"/>
              <w:jc w:val="right"/>
            </w:pPr>
            <w:r>
              <w:rPr>
                <w:rFonts w:ascii="宋体" w:eastAsia="宋体" w:hAnsi="宋体" w:cs="宋体"/>
                <w:b w:val="0"/>
                <w:i w:val="0"/>
                <w:color w:val="000000"/>
                <w:sz w:val="16"/>
              </w:rPr>
              <w:t xml:space="preserve">777,570.80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238,235.70</w:t>
            </w:r>
          </w:p>
        </w:tc>
        <w:tc>
          <w:tcPr>
            <w:tcW w:w="1420" w:type="dxa"/>
            <w:tcBorders/>
            <w:vAlign w:val="center"/>
          </w:tcPr>
          <w:p>
            <w:pPr>
              <w:snapToGrid w:val="0"/>
              <w:jc w:val="right"/>
            </w:pPr>
            <w:r>
              <w:rPr>
                <w:rFonts w:ascii="宋体" w:eastAsia="宋体" w:hAnsi="宋体" w:cs="宋体"/>
                <w:b w:val="0"/>
                <w:i w:val="0"/>
                <w:color w:val="000000"/>
                <w:sz w:val="16"/>
              </w:rPr>
              <w:t xml:space="preserve">238,235.70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1,015,806.50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1,015,806.50</w:t>
            </w:r>
          </w:p>
        </w:tc>
        <w:tc>
          <w:tcPr>
            <w:tcW w:w="1420" w:type="dxa"/>
            <w:tcBorders/>
            <w:vAlign w:val="center"/>
          </w:tcPr>
          <w:p>
            <w:pPr>
              <w:snapToGrid w:val="0"/>
              <w:jc w:val="right"/>
            </w:pPr>
            <w:r>
              <w:rPr>
                <w:rFonts w:ascii="宋体" w:eastAsia="宋体" w:hAnsi="宋体" w:cs="宋体"/>
                <w:b w:val="0"/>
                <w:i w:val="0"/>
                <w:color w:val="000000"/>
                <w:sz w:val="16"/>
              </w:rPr>
              <w:t xml:space="preserve">1,015,806.50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1,015,806.50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1,015,806.50</w:t>
            </w:r>
          </w:p>
        </w:tc>
        <w:tc>
          <w:tcPr>
            <w:tcW w:w="1420" w:type="dxa"/>
            <w:tcBorders/>
            <w:vAlign w:val="center"/>
          </w:tcPr>
          <w:p>
            <w:pPr>
              <w:snapToGrid w:val="0"/>
              <w:jc w:val="right"/>
            </w:pPr>
            <w:r>
              <w:rPr>
                <w:rFonts w:ascii="宋体" w:eastAsia="宋体" w:hAnsi="宋体" w:cs="宋体"/>
                <w:b w:val="0"/>
                <w:i w:val="0"/>
                <w:color w:val="000000"/>
                <w:sz w:val="16"/>
              </w:rPr>
              <w:t xml:space="preserve">1,015,806.50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单位：天津市长芦盐业总公司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1,015,806.50</w:t>
            </w:r>
          </w:p>
        </w:tc>
        <w:tc>
          <w:tcPr>
            <w:tcW w:w="1720" w:type="dxa"/>
            <w:tcBorders/>
            <w:vAlign w:val="center"/>
          </w:tcPr>
          <w:p>
            <w:pPr>
              <w:snapToGrid w:val="0"/>
              <w:jc w:val="right"/>
            </w:pPr>
            <w:r>
              <w:rPr>
                <w:rFonts w:ascii="宋体" w:eastAsia="宋体" w:hAnsi="宋体" w:cs="宋体"/>
                <w:b w:val="0"/>
                <w:i w:val="0"/>
                <w:color w:val="000000"/>
                <w:sz w:val="20"/>
              </w:rPr>
              <w:t xml:space="preserve">616,237.70</w:t>
            </w:r>
          </w:p>
        </w:tc>
        <w:tc>
          <w:tcPr>
            <w:tcW w:w="1720" w:type="dxa"/>
            <w:tcBorders/>
            <w:vAlign w:val="center"/>
          </w:tcPr>
          <w:p>
            <w:pPr>
              <w:snapToGrid w:val="0"/>
              <w:jc w:val="right"/>
            </w:pPr>
            <w:r>
              <w:rPr>
                <w:rFonts w:ascii="宋体" w:eastAsia="宋体" w:hAnsi="宋体" w:cs="宋体"/>
                <w:b w:val="0"/>
                <w:i w:val="0"/>
                <w:color w:val="000000"/>
                <w:sz w:val="20"/>
              </w:rPr>
              <w:t xml:space="preserve">616,237.70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399,568.80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777,570.80</w:t>
            </w:r>
          </w:p>
        </w:tc>
        <w:tc>
          <w:tcPr>
            <w:tcW w:w="1720" w:type="dxa"/>
            <w:tcBorders/>
            <w:vAlign w:val="center"/>
          </w:tcPr>
          <w:p>
            <w:pPr>
              <w:snapToGrid w:val="0"/>
              <w:jc w:val="right"/>
            </w:pPr>
            <w:r>
              <w:rPr>
                <w:rFonts w:ascii="宋体" w:eastAsia="宋体" w:hAnsi="宋体" w:cs="宋体"/>
                <w:b w:val="0"/>
                <w:i w:val="0"/>
                <w:color w:val="000000"/>
                <w:sz w:val="20"/>
              </w:rPr>
              <w:t xml:space="preserve">378,002.00</w:t>
            </w:r>
          </w:p>
        </w:tc>
        <w:tc>
          <w:tcPr>
            <w:tcW w:w="1720" w:type="dxa"/>
            <w:tcBorders/>
            <w:vAlign w:val="center"/>
          </w:tcPr>
          <w:p>
            <w:pPr>
              <w:snapToGrid w:val="0"/>
              <w:jc w:val="right"/>
            </w:pPr>
            <w:r>
              <w:rPr>
                <w:rFonts w:ascii="宋体" w:eastAsia="宋体" w:hAnsi="宋体" w:cs="宋体"/>
                <w:b w:val="0"/>
                <w:i w:val="0"/>
                <w:color w:val="000000"/>
                <w:sz w:val="20"/>
              </w:rPr>
              <w:t xml:space="preserve">378,002.00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399,568.80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777,570.80</w:t>
            </w:r>
          </w:p>
        </w:tc>
        <w:tc>
          <w:tcPr>
            <w:tcW w:w="1720" w:type="dxa"/>
            <w:tcBorders/>
            <w:vAlign w:val="center"/>
          </w:tcPr>
          <w:p>
            <w:pPr>
              <w:snapToGrid w:val="0"/>
              <w:jc w:val="right"/>
            </w:pPr>
            <w:r>
              <w:rPr>
                <w:rFonts w:ascii="宋体" w:eastAsia="宋体" w:hAnsi="宋体" w:cs="宋体"/>
                <w:b w:val="0"/>
                <w:i w:val="0"/>
                <w:color w:val="000000"/>
                <w:sz w:val="20"/>
              </w:rPr>
              <w:t xml:space="preserve">378,002.00</w:t>
            </w:r>
          </w:p>
        </w:tc>
        <w:tc>
          <w:tcPr>
            <w:tcW w:w="1720" w:type="dxa"/>
            <w:tcBorders/>
            <w:vAlign w:val="center"/>
          </w:tcPr>
          <w:p>
            <w:pPr>
              <w:snapToGrid w:val="0"/>
              <w:jc w:val="right"/>
            </w:pPr>
            <w:r>
              <w:rPr>
                <w:rFonts w:ascii="宋体" w:eastAsia="宋体" w:hAnsi="宋体" w:cs="宋体"/>
                <w:b w:val="0"/>
                <w:i w:val="0"/>
                <w:color w:val="000000"/>
                <w:sz w:val="20"/>
              </w:rPr>
              <w:t xml:space="preserve">378,002.00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399,568.80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2080501</w:t>
            </w:r>
          </w:p>
        </w:tc>
        <w:tc>
          <w:tcPr>
            <w:tcW w:w="3480" w:type="dxa"/>
            <w:tcBorders/>
            <w:vAlign w:val="center"/>
          </w:tcPr>
          <w:p>
            <w:pPr>
              <w:snapToGrid w:val="0"/>
              <w:jc w:val="left"/>
            </w:pPr>
            <w:r>
              <w:rPr>
                <w:rFonts w:ascii="宋体" w:eastAsia="宋体" w:hAnsi="宋体" w:cs="宋体"/>
                <w:b w:val="0"/>
                <w:i w:val="0"/>
                <w:color w:val="000000"/>
                <w:sz w:val="20"/>
              </w:rPr>
              <w:t xml:space="preserve">行政单位离退休</w:t>
            </w:r>
          </w:p>
        </w:tc>
        <w:tc>
          <w:tcPr>
            <w:tcW w:w="1720" w:type="dxa"/>
            <w:tcBorders/>
            <w:vAlign w:val="center"/>
          </w:tcPr>
          <w:p>
            <w:pPr>
              <w:snapToGrid w:val="0"/>
              <w:jc w:val="right"/>
            </w:pPr>
            <w:r>
              <w:rPr>
                <w:rFonts w:ascii="宋体" w:eastAsia="宋体" w:hAnsi="宋体" w:cs="宋体"/>
                <w:b w:val="0"/>
                <w:i w:val="0"/>
                <w:color w:val="000000"/>
                <w:sz w:val="20"/>
              </w:rPr>
              <w:t xml:space="preserve">777,570.80</w:t>
            </w:r>
          </w:p>
        </w:tc>
        <w:tc>
          <w:tcPr>
            <w:tcW w:w="1720" w:type="dxa"/>
            <w:tcBorders/>
            <w:vAlign w:val="center"/>
          </w:tcPr>
          <w:p>
            <w:pPr>
              <w:snapToGrid w:val="0"/>
              <w:jc w:val="right"/>
            </w:pPr>
            <w:r>
              <w:rPr>
                <w:rFonts w:ascii="宋体" w:eastAsia="宋体" w:hAnsi="宋体" w:cs="宋体"/>
                <w:b w:val="0"/>
                <w:i w:val="0"/>
                <w:color w:val="000000"/>
                <w:sz w:val="20"/>
              </w:rPr>
              <w:t xml:space="preserve">378,002.00</w:t>
            </w:r>
          </w:p>
        </w:tc>
        <w:tc>
          <w:tcPr>
            <w:tcW w:w="1720" w:type="dxa"/>
            <w:tcBorders/>
            <w:vAlign w:val="center"/>
          </w:tcPr>
          <w:p>
            <w:pPr>
              <w:snapToGrid w:val="0"/>
              <w:jc w:val="right"/>
            </w:pPr>
            <w:r>
              <w:rPr>
                <w:rFonts w:ascii="宋体" w:eastAsia="宋体" w:hAnsi="宋体" w:cs="宋体"/>
                <w:b w:val="0"/>
                <w:i w:val="0"/>
                <w:color w:val="000000"/>
                <w:sz w:val="20"/>
              </w:rPr>
              <w:t xml:space="preserve">378,002.00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399,568.80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238,235.70</w:t>
            </w:r>
          </w:p>
        </w:tc>
        <w:tc>
          <w:tcPr>
            <w:tcW w:w="1720" w:type="dxa"/>
            <w:tcBorders/>
            <w:vAlign w:val="center"/>
          </w:tcPr>
          <w:p>
            <w:pPr>
              <w:snapToGrid w:val="0"/>
              <w:jc w:val="right"/>
            </w:pPr>
            <w:r>
              <w:rPr>
                <w:rFonts w:ascii="宋体" w:eastAsia="宋体" w:hAnsi="宋体" w:cs="宋体"/>
                <w:b w:val="0"/>
                <w:i w:val="0"/>
                <w:color w:val="000000"/>
                <w:sz w:val="20"/>
              </w:rPr>
              <w:t xml:space="preserve">238,235.70</w:t>
            </w:r>
          </w:p>
        </w:tc>
        <w:tc>
          <w:tcPr>
            <w:tcW w:w="1720" w:type="dxa"/>
            <w:tcBorders/>
            <w:vAlign w:val="center"/>
          </w:tcPr>
          <w:p>
            <w:pPr>
              <w:snapToGrid w:val="0"/>
              <w:jc w:val="right"/>
            </w:pPr>
            <w:r>
              <w:rPr>
                <w:rFonts w:ascii="宋体" w:eastAsia="宋体" w:hAnsi="宋体" w:cs="宋体"/>
                <w:b w:val="0"/>
                <w:i w:val="0"/>
                <w:color w:val="000000"/>
                <w:sz w:val="20"/>
              </w:rPr>
              <w:t xml:space="preserve">238,235.70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238,235.70</w:t>
            </w:r>
          </w:p>
        </w:tc>
        <w:tc>
          <w:tcPr>
            <w:tcW w:w="1720" w:type="dxa"/>
            <w:tcBorders/>
            <w:vAlign w:val="center"/>
          </w:tcPr>
          <w:p>
            <w:pPr>
              <w:snapToGrid w:val="0"/>
              <w:jc w:val="right"/>
            </w:pPr>
            <w:r>
              <w:rPr>
                <w:rFonts w:ascii="宋体" w:eastAsia="宋体" w:hAnsi="宋体" w:cs="宋体"/>
                <w:b w:val="0"/>
                <w:i w:val="0"/>
                <w:color w:val="000000"/>
                <w:sz w:val="20"/>
              </w:rPr>
              <w:t xml:space="preserve">238,235.70</w:t>
            </w:r>
          </w:p>
        </w:tc>
        <w:tc>
          <w:tcPr>
            <w:tcW w:w="1720" w:type="dxa"/>
            <w:tcBorders/>
            <w:vAlign w:val="center"/>
          </w:tcPr>
          <w:p>
            <w:pPr>
              <w:snapToGrid w:val="0"/>
              <w:jc w:val="right"/>
            </w:pPr>
            <w:r>
              <w:rPr>
                <w:rFonts w:ascii="宋体" w:eastAsia="宋体" w:hAnsi="宋体" w:cs="宋体"/>
                <w:b w:val="0"/>
                <w:i w:val="0"/>
                <w:color w:val="000000"/>
                <w:sz w:val="20"/>
              </w:rPr>
              <w:t xml:space="preserve">238,235.70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85,353.70</w:t>
            </w:r>
          </w:p>
        </w:tc>
        <w:tc>
          <w:tcPr>
            <w:tcW w:w="1720" w:type="dxa"/>
            <w:tcBorders/>
            <w:vAlign w:val="center"/>
          </w:tcPr>
          <w:p>
            <w:pPr>
              <w:snapToGrid w:val="0"/>
              <w:jc w:val="right"/>
            </w:pPr>
            <w:r>
              <w:rPr>
                <w:rFonts w:ascii="宋体" w:eastAsia="宋体" w:hAnsi="宋体" w:cs="宋体"/>
                <w:b w:val="0"/>
                <w:i w:val="0"/>
                <w:color w:val="000000"/>
                <w:sz w:val="20"/>
              </w:rPr>
              <w:t xml:space="preserve">85,353.70</w:t>
            </w:r>
          </w:p>
        </w:tc>
        <w:tc>
          <w:tcPr>
            <w:tcW w:w="1720" w:type="dxa"/>
            <w:tcBorders/>
            <w:vAlign w:val="center"/>
          </w:tcPr>
          <w:p>
            <w:pPr>
              <w:snapToGrid w:val="0"/>
              <w:jc w:val="right"/>
            </w:pPr>
            <w:r>
              <w:rPr>
                <w:rFonts w:ascii="宋体" w:eastAsia="宋体" w:hAnsi="宋体" w:cs="宋体"/>
                <w:b w:val="0"/>
                <w:i w:val="0"/>
                <w:color w:val="000000"/>
                <w:sz w:val="20"/>
              </w:rPr>
              <w:t xml:space="preserve">85,353.70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152,882.00</w:t>
            </w:r>
          </w:p>
        </w:tc>
        <w:tc>
          <w:tcPr>
            <w:tcW w:w="1720" w:type="dxa"/>
            <w:tcBorders/>
            <w:vAlign w:val="center"/>
          </w:tcPr>
          <w:p>
            <w:pPr>
              <w:snapToGrid w:val="0"/>
              <w:jc w:val="right"/>
            </w:pPr>
            <w:r>
              <w:rPr>
                <w:rFonts w:ascii="宋体" w:eastAsia="宋体" w:hAnsi="宋体" w:cs="宋体"/>
                <w:b w:val="0"/>
                <w:i w:val="0"/>
                <w:color w:val="000000"/>
                <w:sz w:val="20"/>
              </w:rPr>
              <w:t xml:space="preserve">152,882.00</w:t>
            </w:r>
          </w:p>
        </w:tc>
        <w:tc>
          <w:tcPr>
            <w:tcW w:w="1720" w:type="dxa"/>
            <w:tcBorders/>
            <w:vAlign w:val="center"/>
          </w:tcPr>
          <w:p>
            <w:pPr>
              <w:snapToGrid w:val="0"/>
              <w:jc w:val="right"/>
            </w:pPr>
            <w:r>
              <w:rPr>
                <w:rFonts w:ascii="宋体" w:eastAsia="宋体" w:hAnsi="宋体" w:cs="宋体"/>
                <w:b w:val="0"/>
                <w:i w:val="0"/>
                <w:color w:val="000000"/>
                <w:sz w:val="20"/>
              </w:rPr>
              <w:t xml:space="preserve">152,882.00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单位：天津市长芦盐业总公司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616,237.70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97,002.00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281,000.00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238,235.70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616,237.70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单位：天津市长芦盐业总公司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天津市长芦盐业总公司2024年度政府性基金预算财政拨款收入支出决算表为空表。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单位：天津市长芦盐业总公司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天津市长芦盐业总公司2024年国有资本经营预算财政拨款收入支出决算表为空表。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单位：天津市长芦盐业总公司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天津市长芦盐业总公司2024年财政拨款“三公”经费支出决算表为空表。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单位：天津市长芦盐业总公司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399,568.80</w:t>
            </w:r>
          </w:p>
        </w:tc>
        <w:tc>
          <w:tcPr>
            <w:tcW w:w="1340" w:type="dxa"/>
            <w:tcBorders/>
            <w:vAlign w:val="center"/>
          </w:tcPr>
          <w:p>
            <w:pPr>
              <w:snapToGrid w:val="0"/>
              <w:jc w:val="right"/>
            </w:pPr>
            <w:r>
              <w:rPr>
                <w:rFonts w:ascii="宋体" w:eastAsia="宋体" w:hAnsi="宋体" w:cs="宋体"/>
                <w:b w:val="0"/>
                <w:i w:val="0"/>
                <w:color w:val="000000"/>
                <w:sz w:val="16"/>
              </w:rPr>
              <w:t xml:space="preserve">399,568.80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399,568.80</w:t>
            </w:r>
          </w:p>
        </w:tc>
        <w:tc>
          <w:tcPr>
            <w:tcW w:w="1340" w:type="dxa"/>
            <w:tcBorders/>
            <w:vAlign w:val="center"/>
          </w:tcPr>
          <w:p>
            <w:pPr>
              <w:snapToGrid w:val="0"/>
              <w:jc w:val="right"/>
            </w:pPr>
            <w:r>
              <w:rPr>
                <w:rFonts w:ascii="宋体" w:eastAsia="宋体" w:hAnsi="宋体" w:cs="宋体"/>
                <w:b w:val="0"/>
                <w:i w:val="0"/>
                <w:color w:val="000000"/>
                <w:sz w:val="16"/>
              </w:rPr>
              <w:t xml:space="preserve">399,568.80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20805</w:t>
            </w:r>
          </w:p>
        </w:tc>
        <w:tc>
          <w:tcPr>
            <w:tcW w:w="4560" w:type="dxa"/>
            <w:tcBorders/>
            <w:vAlign w:val="center"/>
          </w:tcPr>
          <w:p>
            <w:pPr>
              <w:snapToGrid w:val="0"/>
              <w:jc w:val="left"/>
            </w:pPr>
            <w:r>
              <w:rPr>
                <w:rFonts w:ascii="宋体" w:eastAsia="宋体" w:hAnsi="宋体" w:cs="宋体"/>
                <w:b w:val="0"/>
                <w:i w:val="0"/>
                <w:color w:val="000000"/>
                <w:sz w:val="16"/>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6"/>
              </w:rPr>
              <w:t xml:space="preserve">399,568.80</w:t>
            </w:r>
          </w:p>
        </w:tc>
        <w:tc>
          <w:tcPr>
            <w:tcW w:w="1340" w:type="dxa"/>
            <w:tcBorders/>
            <w:vAlign w:val="center"/>
          </w:tcPr>
          <w:p>
            <w:pPr>
              <w:snapToGrid w:val="0"/>
              <w:jc w:val="right"/>
            </w:pPr>
            <w:r>
              <w:rPr>
                <w:rFonts w:ascii="宋体" w:eastAsia="宋体" w:hAnsi="宋体" w:cs="宋体"/>
                <w:b w:val="0"/>
                <w:i w:val="0"/>
                <w:color w:val="000000"/>
                <w:sz w:val="16"/>
              </w:rPr>
              <w:t xml:space="preserve">399,568.80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2080501</w:t>
            </w:r>
          </w:p>
        </w:tc>
        <w:tc>
          <w:tcPr>
            <w:tcW w:w="4560" w:type="dxa"/>
            <w:tcBorders/>
            <w:vAlign w:val="center"/>
          </w:tcPr>
          <w:p>
            <w:pPr>
              <w:snapToGrid w:val="0"/>
              <w:jc w:val="left"/>
            </w:pPr>
            <w:r>
              <w:rPr>
                <w:rFonts w:ascii="宋体" w:eastAsia="宋体" w:hAnsi="宋体" w:cs="宋体"/>
                <w:b w:val="0"/>
                <w:i w:val="0"/>
                <w:color w:val="000000"/>
                <w:sz w:val="16"/>
              </w:rPr>
              <w:t xml:space="preserve">行政单位离退休</w:t>
            </w:r>
          </w:p>
        </w:tc>
        <w:tc>
          <w:tcPr>
            <w:tcW w:w="1240" w:type="dxa"/>
            <w:tcBorders/>
            <w:vAlign w:val="center"/>
          </w:tcPr>
          <w:p>
            <w:pPr>
              <w:snapToGrid w:val="0"/>
              <w:jc w:val="right"/>
            </w:pPr>
            <w:r>
              <w:rPr>
                <w:rFonts w:ascii="宋体" w:eastAsia="宋体" w:hAnsi="宋体" w:cs="宋体"/>
                <w:b w:val="0"/>
                <w:i w:val="0"/>
                <w:color w:val="000000"/>
                <w:sz w:val="16"/>
              </w:rPr>
              <w:t xml:space="preserve">399,568.80</w:t>
            </w:r>
          </w:p>
        </w:tc>
        <w:tc>
          <w:tcPr>
            <w:tcW w:w="1340" w:type="dxa"/>
            <w:tcBorders/>
            <w:vAlign w:val="center"/>
          </w:tcPr>
          <w:p>
            <w:pPr>
              <w:snapToGrid w:val="0"/>
              <w:jc w:val="right"/>
            </w:pPr>
            <w:r>
              <w:rPr>
                <w:rFonts w:ascii="宋体" w:eastAsia="宋体" w:hAnsi="宋体" w:cs="宋体"/>
                <w:b w:val="0"/>
                <w:i w:val="0"/>
                <w:color w:val="000000"/>
                <w:sz w:val="16"/>
              </w:rPr>
              <w:t xml:space="preserve">399,568.80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2080501</w:t>
            </w:r>
          </w:p>
        </w:tc>
        <w:tc>
          <w:tcPr>
            <w:tcW w:w="4560" w:type="dxa"/>
            <w:tcBorders/>
            <w:vAlign w:val="center"/>
          </w:tcPr>
          <w:p>
            <w:pPr>
              <w:snapToGrid w:val="0"/>
              <w:jc w:val="left"/>
            </w:pPr>
            <w:r>
              <w:rPr>
                <w:rFonts w:ascii="宋体" w:eastAsia="宋体" w:hAnsi="宋体" w:cs="宋体"/>
                <w:b w:val="0"/>
                <w:i w:val="0"/>
                <w:color w:val="000000"/>
                <w:sz w:val="16"/>
              </w:rPr>
              <w:t xml:space="preserve">转制公司离退休抚恤金</w:t>
            </w:r>
          </w:p>
        </w:tc>
        <w:tc>
          <w:tcPr>
            <w:tcW w:w="1240" w:type="dxa"/>
            <w:tcBorders/>
            <w:vAlign w:val="center"/>
          </w:tcPr>
          <w:p>
            <w:pPr>
              <w:snapToGrid w:val="0"/>
              <w:jc w:val="right"/>
            </w:pPr>
            <w:r>
              <w:rPr>
                <w:rFonts w:ascii="宋体" w:eastAsia="宋体" w:hAnsi="宋体" w:cs="宋体"/>
                <w:b w:val="0"/>
                <w:i w:val="0"/>
                <w:color w:val="000000"/>
                <w:sz w:val="16"/>
              </w:rPr>
              <w:t xml:space="preserve">399,568.80</w:t>
            </w:r>
          </w:p>
        </w:tc>
        <w:tc>
          <w:tcPr>
            <w:tcW w:w="1340" w:type="dxa"/>
            <w:tcBorders/>
            <w:vAlign w:val="center"/>
          </w:tcPr>
          <w:p>
            <w:pPr>
              <w:snapToGrid w:val="0"/>
              <w:jc w:val="right"/>
            </w:pPr>
            <w:r>
              <w:rPr>
                <w:rFonts w:ascii="宋体" w:eastAsia="宋体" w:hAnsi="宋体" w:cs="宋体"/>
                <w:b w:val="0"/>
                <w:i w:val="0"/>
                <w:color w:val="000000"/>
                <w:sz w:val="16"/>
              </w:rPr>
              <w:t xml:space="preserve">399,568.80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天津市长芦盐业总公司</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1,015,806.50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减少223,257.10元，下降18.018%</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一般公共预算财政拨款收入1,015,806.50元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社会保障和就业支出777,570.80元、卫生健康支出238,235.70元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天津市长芦盐业总公司</w:t>
      </w:r>
      <w:r>
        <w:rPr>
          <w:rFonts w:eastAsia="仿宋_GB2312" w:hint="eastAsia"/>
          <w:sz w:val="30"/>
          <w:szCs w:val="30"/>
        </w:rPr>
        <w:t xml:space="preserve">2024年度本年收入合计</w:t>
      </w:r>
      <w:r>
        <w:rPr>
          <w:rFonts w:eastAsia="仿宋_GB2312" w:hint="eastAsia"/>
          <w:sz w:val="30"/>
          <w:szCs w:val="30"/>
        </w:rPr>
        <w:t xml:space="preserve">1,015,806.50</w:t>
      </w:r>
      <w:r>
        <w:rPr>
          <w:rFonts w:eastAsia="仿宋_GB2312" w:hint="eastAsia"/>
          <w:sz w:val="30"/>
          <w:szCs w:val="30"/>
        </w:rPr>
        <w:t xml:space="preserve">元，与2023年度相比</w:t>
      </w:r>
      <w:r>
        <w:rPr>
          <w:rFonts w:eastAsia="仿宋_GB2312" w:hint="eastAsia"/>
          <w:sz w:val="30"/>
          <w:szCs w:val="30"/>
        </w:rPr>
        <w:t xml:space="preserve">减少223,257.10元，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一般公共预算财政拨款收入1,015,806.50元，占100.000%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天津市长芦盐业总公司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1,015,806.50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减少223,257.10元，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基本支出616,237.70元，占100.000%；项目支出399,568.80元，占39.340%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天津市长芦盐业总公司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1,015,806.50</w:t>
      </w:r>
      <w:r>
        <w:rPr>
          <w:rFonts w:eastAsia="仿宋_GB2312" w:hint="eastAsia"/>
          <w:sz w:val="30"/>
          <w:szCs w:val="30"/>
        </w:rPr>
        <w:t xml:space="preserve">元。与2023年度相比，财政拨款收、支总计各</w:t>
      </w:r>
      <w:r>
        <w:rPr>
          <w:rFonts w:eastAsia="仿宋_GB2312" w:hint="eastAsia"/>
          <w:sz w:val="30"/>
          <w:szCs w:val="30"/>
        </w:rPr>
        <w:t xml:space="preserve">减少223,257.10元，下降18.018%，</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一般公共预算财政拨款1,015,806.50元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社会保障和就业支出777,570.80元、卫生健康支出238,235.70元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天津市长芦盐业总公司2024年度部门决算一般公共预算财政拨款支出合计1,015,806.50元，占本年支出合计的100.000%。与2023年度相比，一般公共预算财政拨款支出</w:t>
      </w:r>
      <w:r>
        <w:rPr>
          <w:rFonts w:eastAsia="仿宋_GB2312" w:hint="eastAsia"/>
          <w:sz w:val="30"/>
          <w:szCs w:val="30"/>
        </w:rPr>
        <w:t xml:space="preserve">减少223,257.10元</w:t>
      </w:r>
      <w:r>
        <w:rPr>
          <w:rFonts w:eastAsia="仿宋_GB2312" w:hint="eastAsia"/>
          <w:sz w:val="30"/>
          <w:szCs w:val="30"/>
        </w:rPr>
        <w:t xml:space="preserve">，下降18.018%</w:t>
      </w:r>
      <w:r>
        <w:rPr>
          <w:rFonts w:eastAsia="仿宋_GB2312" w:hint="eastAsia"/>
          <w:sz w:val="30"/>
          <w:szCs w:val="30"/>
        </w:rPr>
        <w:t xml:space="preserve">，主要原因是离退休人员去世。</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2024年度一般公共预算财政拨款支出1,015,806.50元，主要用于以下方面：</w:t>
      </w:r>
      <w:r>
        <w:rPr>
          <w:rFonts w:eastAsia="仿宋_GB2312" w:hint="eastAsia"/>
          <w:sz w:val="30"/>
          <w:szCs w:val="30"/>
        </w:rPr>
        <w:t xml:space="preserve">社会保障和就业支出（类）支出777,570.80元，占76.547%,卫生健康支出（类）支出238,235.70元，占23.453%</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2024年度一般公共预算财政拨款支出年初预算为504,000.00元，支出决算为1,015,806.50元</w:t>
      </w:r>
      <w:r>
        <w:rPr>
          <w:rFonts w:eastAsia="仿宋_GB2312" w:hint="eastAsia"/>
          <w:sz w:val="30"/>
          <w:szCs w:val="30"/>
        </w:rPr>
        <w:t xml:space="preserve">，完成年初预算的201.549%</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1.社会保障和就业支出（类）行政事业单位养老支出（款）行政单位离退休（项）年初预算为484,000.00元，支出决算为777,570.80元，完成年初预算的160.655%，决算数大于预算数的主要原因是：离退休人员去世抚恤金。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2.卫生健康支出（类）行政事业单位医疗（款）行政单位医疗（项）年初预算为20,000.00元，支出决算为85,353.70元，完成年初预算的426.769%，决算数大于预算数的主要原因是：离退休人员医疗费。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3.卫生健康支出（类）行政事业单位医疗（款）事业单位医疗（项）年初预算为0.00元，支出决算为152,882.00元，决算数大于预算数的主要原因是：离退休人员医疗费</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天津市长芦盐业总公司</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616,237.70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增加84,237.70元，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人员经费616,237.70元，主要包括</w:t>
      </w:r>
      <w:r>
        <w:rPr>
          <w:rFonts w:eastAsia="仿宋_GB2312" w:hint="eastAsia"/>
          <w:sz w:val="30"/>
          <w:szCs w:val="30"/>
        </w:rPr>
        <w:t xml:space="preserve">离休费、退休费、医疗费补助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天津市长芦盐业总公司2024年度无政府性基金预算财政拨款收入、支出和结转结余。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天津市长芦盐业总公司2024年度无国有资本经营预算财政拨款收入、支出和结转结余。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天津市长芦盐业总公司2024年度无机关运行经费。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天津市长芦盐业总公司2024年度无政府采购支出。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天津市长芦盐业总公司2024年度无国有资产占有使用情况。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天津市印刷技术研究所2024年度没有项目支出,无需开展绩效自评。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天津市印刷技术研究所不属于乡、镇、街级单位,不涉及公开2024年度教育、医疗卫生、社会保障和就业、住房保障、涉农补贴等民生支出情况。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