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天津市橡胶工业研究所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天津市橡胶工业研究所</w:t>
      </w:r>
      <w:r>
        <w:rPr>
          <w:rFonts w:ascii="仿宋_GB2312" w:eastAsia="仿宋_GB2312" w:hint="eastAsia"/>
          <w:sz w:val="30"/>
          <w:szCs w:val="30"/>
        </w:rPr>
        <w:t xml:space="preserve">的主要职责是：</w:t>
      </w:r>
      <w:r>
        <w:rPr>
          <w:rFonts w:ascii="仿宋_GB2312" w:eastAsia="仿宋_GB2312" w:hint="eastAsia"/>
          <w:sz w:val="30"/>
          <w:szCs w:val="30"/>
        </w:rPr>
        <w:t xml:space="preserve">负责转制前人员工资发放</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天津市橡胶工业研究所内设0个职能处室；下辖0个预算单位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天津市橡胶工业研究所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天津市橡胶工业研究所</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471,000.00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471,000.00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471,000.00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471,000.00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471,000.00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471,000.00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snapToGrid w:val="0"/>
              <w:jc w:val="right"/>
            </w:pPr>
            <w:r>
              <w:rPr>
                <w:rFonts w:ascii="宋体" w:eastAsia="宋体" w:hAnsi="宋体" w:cs="宋体"/>
                <w:b w:val="0"/>
                <w:i w:val="0"/>
                <w:color w:val="000000"/>
                <w:sz w:val="14"/>
              </w:rPr>
              <w:t xml:space="preserve">471,000.00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471,000.00</w:t>
            </w:r>
          </w:p>
        </w:tc>
        <w:tc>
          <w:tcPr>
            <w:tcW w:w="580" w:type="dxa"/>
            <w:tcBorders/>
            <w:vAlign w:val="center"/>
          </w:tcPr>
          <w:p>
            <w:pPr>
              <w:snapToGrid w:val="0"/>
              <w:jc w:val="right"/>
            </w:pPr>
            <w:r>
              <w:rPr>
                <w:rFonts w:ascii="宋体" w:eastAsia="宋体" w:hAnsi="宋体" w:cs="宋体"/>
                <w:b w:val="0"/>
                <w:i w:val="0"/>
                <w:color w:val="000000"/>
                <w:sz w:val="9"/>
              </w:rPr>
              <w:t xml:space="preserve">471,000.00</w:t>
            </w:r>
          </w:p>
        </w:tc>
        <w:tc>
          <w:tcPr>
            <w:tcW w:w="580" w:type="dxa"/>
            <w:tcBorders/>
            <w:vAlign w:val="center"/>
          </w:tcPr>
          <w:p>
            <w:pPr>
              <w:snapToGrid w:val="0"/>
              <w:jc w:val="right"/>
            </w:pPr>
            <w:r>
              <w:rPr>
                <w:rFonts w:ascii="宋体" w:eastAsia="宋体" w:hAnsi="宋体" w:cs="宋体"/>
                <w:b w:val="0"/>
                <w:i w:val="0"/>
                <w:color w:val="000000"/>
                <w:sz w:val="9"/>
              </w:rPr>
              <w:t xml:space="preserve">471,000.00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705904</w:t>
            </w:r>
          </w:p>
        </w:tc>
        <w:tc>
          <w:tcPr>
            <w:tcW w:w="1520" w:type="dxa"/>
            <w:tcBorders/>
            <w:vAlign w:val="center"/>
          </w:tcPr>
          <w:p>
            <w:pPr>
              <w:snapToGrid w:val="0"/>
              <w:jc w:val="center"/>
            </w:pPr>
            <w:r>
              <w:rPr>
                <w:rFonts w:ascii="宋体" w:eastAsia="宋体" w:hAnsi="宋体" w:cs="宋体"/>
                <w:b w:val="0"/>
                <w:i w:val="0"/>
                <w:color w:val="000000"/>
                <w:sz w:val="9"/>
              </w:rPr>
              <w:t xml:space="preserve">天津市橡胶工业研究所</w:t>
            </w:r>
          </w:p>
        </w:tc>
        <w:tc>
          <w:tcPr>
            <w:tcW w:w="580" w:type="dxa"/>
            <w:tcBorders/>
            <w:vAlign w:val="center"/>
          </w:tcPr>
          <w:p>
            <w:pPr>
              <w:snapToGrid w:val="0"/>
              <w:jc w:val="right"/>
            </w:pPr>
            <w:r>
              <w:rPr>
                <w:rFonts w:ascii="宋体" w:eastAsia="宋体" w:hAnsi="宋体" w:cs="宋体"/>
                <w:b w:val="0"/>
                <w:i w:val="0"/>
                <w:color w:val="000000"/>
                <w:sz w:val="9"/>
              </w:rPr>
              <w:t xml:space="preserve">471,000.00</w:t>
            </w:r>
          </w:p>
        </w:tc>
        <w:tc>
          <w:tcPr>
            <w:tcW w:w="580" w:type="dxa"/>
            <w:tcBorders/>
            <w:vAlign w:val="center"/>
          </w:tcPr>
          <w:p>
            <w:pPr>
              <w:snapToGrid w:val="0"/>
              <w:jc w:val="right"/>
            </w:pPr>
            <w:r>
              <w:rPr>
                <w:rFonts w:ascii="宋体" w:eastAsia="宋体" w:hAnsi="宋体" w:cs="宋体"/>
                <w:b w:val="0"/>
                <w:i w:val="0"/>
                <w:color w:val="000000"/>
                <w:sz w:val="9"/>
              </w:rPr>
              <w:t xml:space="preserve">471,000.00</w:t>
            </w:r>
          </w:p>
        </w:tc>
        <w:tc>
          <w:tcPr>
            <w:tcW w:w="580" w:type="dxa"/>
            <w:tcBorders/>
            <w:vAlign w:val="center"/>
          </w:tcPr>
          <w:p>
            <w:pPr>
              <w:snapToGrid w:val="0"/>
              <w:jc w:val="right"/>
            </w:pPr>
            <w:r>
              <w:rPr>
                <w:rFonts w:ascii="宋体" w:eastAsia="宋体" w:hAnsi="宋体" w:cs="宋体"/>
                <w:b w:val="0"/>
                <w:i w:val="0"/>
                <w:color w:val="000000"/>
                <w:sz w:val="9"/>
              </w:rPr>
              <w:t xml:space="preserve">471,000.00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snapToGrid w:val="0"/>
              <w:jc w:val="right"/>
            </w:pPr>
            <w:r>
              <w:rPr>
                <w:rFonts w:ascii="宋体" w:eastAsia="宋体" w:hAnsi="宋体" w:cs="宋体"/>
                <w:b w:val="0"/>
                <w:i w:val="0"/>
                <w:color w:val="000000"/>
                <w:sz w:val="15"/>
              </w:rPr>
              <w:t xml:space="preserve">471,000.00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1420" w:type="dxa"/>
            <w:tcBorders/>
            <w:vAlign w:val="center"/>
          </w:tcPr>
          <w:p>
            <w:pPr>
              <w:snapToGrid w:val="0"/>
              <w:jc w:val="right"/>
            </w:pPr>
            <w:r>
              <w:rPr>
                <w:rFonts w:ascii="宋体" w:eastAsia="宋体" w:hAnsi="宋体" w:cs="宋体"/>
                <w:b w:val="0"/>
                <w:i w:val="0"/>
                <w:color w:val="000000"/>
                <w:sz w:val="16"/>
              </w:rPr>
              <w:t xml:space="preserve">471,000.00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snapToGrid w:val="0"/>
              <w:jc w:val="right"/>
            </w:pPr>
            <w:r>
              <w:rPr>
                <w:rFonts w:ascii="宋体" w:eastAsia="宋体" w:hAnsi="宋体" w:cs="宋体"/>
                <w:b w:val="0"/>
                <w:i w:val="0"/>
                <w:color w:val="000000"/>
                <w:sz w:val="20"/>
              </w:rPr>
              <w:t xml:space="preserve">471,000.00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471,000.00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471,000.00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471,000.00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天津市橡胶工业研究所2024年度政府性基金预算财政拨款收入支出决算表为空表。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天津市橡胶工业研究所2024年国有资本经营预算财政拨款收入支出决算表为空表。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天津市橡胶工业研究所2024年财政拨款“三公”经费支出决算表为空表。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单位：天津市橡胶工业研究所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天津市橡胶工业研究所2024年项目支出决算表为空表。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天津市橡胶工业研究所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471,000.00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减少33,000.00元，下降6.548%</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一般公共预算财政拨款收入471,000.00元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科学技术支出471,000.00元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天津市橡胶工业研究所</w:t>
      </w:r>
      <w:r>
        <w:rPr>
          <w:rFonts w:eastAsia="仿宋_GB2312" w:hint="eastAsia"/>
          <w:sz w:val="30"/>
          <w:szCs w:val="30"/>
        </w:rPr>
        <w:t xml:space="preserve">2024年度本年收入合计</w:t>
      </w:r>
      <w:r>
        <w:rPr>
          <w:rFonts w:eastAsia="仿宋_GB2312" w:hint="eastAsia"/>
          <w:sz w:val="30"/>
          <w:szCs w:val="30"/>
        </w:rPr>
        <w:t xml:space="preserve">471,000.00</w:t>
      </w:r>
      <w:r>
        <w:rPr>
          <w:rFonts w:eastAsia="仿宋_GB2312" w:hint="eastAsia"/>
          <w:sz w:val="30"/>
          <w:szCs w:val="30"/>
        </w:rPr>
        <w:t xml:space="preserve">元，与2023年度相比</w:t>
      </w:r>
      <w:r>
        <w:rPr>
          <w:rFonts w:eastAsia="仿宋_GB2312" w:hint="eastAsia"/>
          <w:sz w:val="30"/>
          <w:szCs w:val="30"/>
        </w:rPr>
        <w:t xml:space="preserve">减少33,000.00元，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一般公共预算财政拨款收入471,000.00元，占100.000%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天津市橡胶工业研究所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471,000.00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减少33,000.00元，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基本支出471,000.00元，占100.000%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天津市橡胶工业研究所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471,000.00</w:t>
      </w:r>
      <w:r>
        <w:rPr>
          <w:rFonts w:eastAsia="仿宋_GB2312" w:hint="eastAsia"/>
          <w:sz w:val="30"/>
          <w:szCs w:val="30"/>
        </w:rPr>
        <w:t xml:space="preserve">元。与2023年度相比，财政拨款收、支总计各</w:t>
      </w:r>
      <w:r>
        <w:rPr>
          <w:rFonts w:eastAsia="仿宋_GB2312" w:hint="eastAsia"/>
          <w:sz w:val="30"/>
          <w:szCs w:val="30"/>
        </w:rPr>
        <w:t xml:space="preserve">减少33,000.00元，下降6.548%，</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一般公共预算财政拨款471,000.00元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科学技术支出471,000.00元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天津市橡胶工业研究所2024年度部门决算一般公共预算财政拨款支出合计471,000.00元，占本年支出合计的100.000%。与2023年度相比，一般公共预算财政拨款支出</w:t>
      </w:r>
      <w:r>
        <w:rPr>
          <w:rFonts w:eastAsia="仿宋_GB2312" w:hint="eastAsia"/>
          <w:sz w:val="30"/>
          <w:szCs w:val="30"/>
        </w:rPr>
        <w:t xml:space="preserve">减少33,000.00元</w:t>
      </w:r>
      <w:r>
        <w:rPr>
          <w:rFonts w:eastAsia="仿宋_GB2312" w:hint="eastAsia"/>
          <w:sz w:val="30"/>
          <w:szCs w:val="30"/>
        </w:rPr>
        <w:t xml:space="preserve">，下降6.548%</w:t>
      </w:r>
      <w:r>
        <w:rPr>
          <w:rFonts w:eastAsia="仿宋_GB2312" w:hint="eastAsia"/>
          <w:sz w:val="30"/>
          <w:szCs w:val="30"/>
        </w:rPr>
        <w:t xml:space="preserve">，主要原因是离退休人员去世。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2024年度一般公共预算财政拨款支出471,000.00元，主要用于以下方面：</w:t>
      </w:r>
      <w:r>
        <w:rPr>
          <w:rFonts w:eastAsia="仿宋_GB2312" w:hint="eastAsia"/>
          <w:sz w:val="30"/>
          <w:szCs w:val="30"/>
        </w:rPr>
        <w:t xml:space="preserve">科学技术支出（类）支出471,000.00元，占100.000%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2024年度一般公共预算财政拨款支出年初预算为471,000.00元，支出决算为471,000.00元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1.科学技术支出（类）其他科学技术支出（款）转制科研机构（项）年初预算为471,000.00元，支出决算为471,000.00元，完成年初预算的100.000%，决算数与预算数持平的主要原因是：本年按照预算标准支付离退休费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天津市橡胶工业研究所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471,000.00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减少33,000.00元，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人员经费471,000.00元，主要包括</w:t>
      </w:r>
      <w:r>
        <w:rPr>
          <w:rFonts w:eastAsia="仿宋_GB2312" w:hint="eastAsia"/>
          <w:sz w:val="30"/>
          <w:szCs w:val="30"/>
        </w:rPr>
        <w:t xml:space="preserve">离休费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天津市橡胶工业研究所2024年度无政府性基金预算财政拨款收入、支出和结转结余。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天津市橡胶工业研究所2024年度无国有资本经营预算财政拨款收入、支出和结转结余。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决算数与预算数持平的主要原因是本年度未用财政拨款经费列支因公出国“三公”经费；</w:t>
      </w:r>
      <w:r>
        <w:rPr>
          <w:rFonts w:eastAsia="仿宋_GB2312" w:hint="eastAsia"/>
          <w:sz w:val="30"/>
          <w:szCs w:val="30"/>
        </w:rPr>
        <w:t xml:space="preserve">决算数较上年持平的主要原因是本年度未用财政拨款经费列支因公出国“三公”经费。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天津市橡胶工业研究所2024年度无机关运行经费。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天津市橡胶工业研究所2024年度无政府采购支出。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天津市橡胶工业研究所2024年度无国有资产占有使用情况。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天津市橡胶工业研究所2024年度没有项目支出,无需开展绩效自评。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天津市橡胶工业研究所不属于乡、镇、街级单位,不涉及公开2024年度教育、医疗卫生、社会保障和就业、住房保障、涉农补贴等民生支出情况。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