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
        <w:t>天津市长芦盐业总公司</w:t>
      </w:r>
      <w:r>
        <w:rPr>
          <w:rFonts w:hint="eastAsia" w:ascii="Times New Roman" w:hAnsi="Times New Roman" w:eastAsia="方正小标宋简体" w:cs="方正小标宋简体"/>
          <w:kern w:val="0"/>
          <w:sz w:val="48"/>
          <w:szCs w:val="48"/>
          <w:highlight w:val="none"/>
          <w:lang w:val="zh-CN"/>
        </w:rPr>
        <w:t/>
        <w:t>2023年度部门决算</w:t>
      </w: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
        <w:t>目</w:t>
      </w:r>
      <w:r>
        <w:rPr>
          <w:rFonts w:hint="eastAsia" w:ascii="Times New Roman" w:hAnsi="Times New Roman" w:eastAsia="黑体" w:cs="黑体"/>
          <w:kern w:val="0"/>
          <w:sz w:val="44"/>
          <w:szCs w:val="44"/>
          <w:highlight w:val="none"/>
          <w:lang w:val="en-US" w:eastAsia="zh-CN"/>
        </w:rPr>
        <w:t xml:space="preserve"/>
        <w:t xml:space="preserve">   </w:t>
      </w:r>
      <w:r>
        <w:rPr>
          <w:rFonts w:hint="eastAsia" w:ascii="Times New Roman" w:hAnsi="Times New Roman" w:eastAsia="黑体" w:cs="黑体"/>
          <w:kern w:val="0"/>
          <w:sz w:val="44"/>
          <w:szCs w:val="44"/>
          <w:highlight w:val="none"/>
        </w:rPr>
        <w:t/>
        <w:t>录</w:t>
      </w:r>
    </w:p>
    <w:p>
      <w:pPr>
        <w:autoSpaceDE w:val="0"/>
        <w:autoSpaceDN w:val="0"/>
        <w:adjustRightInd w:val="0"/>
        <w:spacing w:line="600" w:lineRule="exact"/>
        <w:jc w:val="left"/>
        <w:rPr>
          <w:rFonts w:ascii="Times New Roman" w:hAnsi="Times New Roman" w:eastAsia="黑体" w:cs="黑体"/>
          <w:kern w:val="0"/>
          <w:sz w:val="30"/>
          <w:szCs w:val="30"/>
          <w:highlight w:val="none"/>
        </w:rPr>
      </w:pP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第一部分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rPr>
        <w:t/>
        <w:t>概</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rPr>
        <w:t/>
        <w:t>况</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一、主要职责</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二、机构设置</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第二部分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eastAsia="zh-CN"/>
        </w:rPr>
        <w:t/>
        <w:t>2023</w:t>
      </w:r>
      <w:r>
        <w:rPr>
          <w:rFonts w:hint="eastAsia" w:ascii="Times New Roman" w:hAnsi="Times New Roman" w:eastAsia="方正小标宋简体" w:cs="方正小标宋简体"/>
          <w:kern w:val="0"/>
          <w:sz w:val="30"/>
          <w:szCs w:val="30"/>
          <w:highlight w:val="none"/>
        </w:rPr>
        <w:t/>
        <w:t>年度部门决算表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二、收入决算表（按功能分类列示）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三、收入决算表（按单位列示）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四、支出决算表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五、财政拨款收入支出决算总表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六、一般公共预算财政拨款支出决算表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七、一般公共预算财政拨款基本支出决算表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八、政府性基金预算财政拨款收入支出决算表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九、国有资本经营预算财政拨款收入支出决算表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十一、项目支出决算表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十二、关于空表的说明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第三部分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eastAsia="zh-CN"/>
        </w:rPr>
        <w:t/>
        <w:t>2023</w:t>
      </w:r>
      <w:r>
        <w:rPr>
          <w:rFonts w:hint="eastAsia" w:ascii="Times New Roman" w:hAnsi="Times New Roman" w:eastAsia="方正小标宋简体" w:cs="方正小标宋简体"/>
          <w:kern w:val="0"/>
          <w:sz w:val="30"/>
          <w:szCs w:val="30"/>
          <w:highlight w:val="none"/>
        </w:rPr>
        <w:t/>
        <w:t>年度部门决算情况说明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二、收入决算情况说明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三、支出决算情况说明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四、财政拨款收支决算总体情况说明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五、一般公共预算财政拨款支出决算情况说明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六、一般公共预算财政拨款基本支出决算情况说明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七、政府性基金预算财政拨款收支决算情况说明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八、国有资本经营预算财政拨款收支决算情况说明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九、财政拨款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十、机关运行经费支出情况说明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十一、政府采购支出情况说明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十二、国有资产占有使用情况说明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十三、预算绩效情况说明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
        <w:t>十四、教育、医疗卫生、社会保障和就业、住房保障、涉农补贴等民生支出情况说明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
        <w:t>第四部分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val="en"/>
        </w:rPr>
        <w:t/>
        <w:t>名词解释</w:t>
      </w:r>
    </w:p>
    <w:p>
      <w:pPr>
        <w:autoSpaceDE w:val="0"/>
        <w:autoSpaceDN w:val="0"/>
        <w:adjustRightInd w:val="0"/>
        <w:spacing w:line="700" w:lineRule="exact"/>
        <w:jc w:val="left"/>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第一部分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rPr>
        <w:t/>
        <w:t>概</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rPr>
        <w:t/>
        <w:t>况</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一、主要职责</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天津市长芦盐务管理局已取消编制，单位无在职人员，现主要发放原盐务局离退休人员的工资和医药费。</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二、机构设置</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天津市长芦盐业总公司</w:t>
      </w:r>
      <w:r>
        <w:rPr>
          <w:rFonts w:hint="eastAsia" w:ascii="Times New Roman" w:hAnsi="Times New Roman" w:eastAsia="仿宋_GB2312" w:cs="仿宋_GB2312"/>
          <w:sz w:val="30"/>
          <w:szCs w:val="30"/>
          <w:highlight w:val="none"/>
          <w:lang w:eastAsia="zh-CN"/>
        </w:rPr>
        <w:t/>
        <w:t>内设0</w:t>
      </w:r>
      <w:r>
        <w:rPr>
          <w:rFonts w:hint="eastAsia" w:ascii="Times New Roman" w:hAnsi="Times New Roman" w:eastAsia="仿宋_GB2312" w:cs="仿宋_GB2312"/>
          <w:sz w:val="30"/>
          <w:szCs w:val="30"/>
          <w:highlight w:val="none"/>
          <w:lang w:eastAsia="zh-CN"/>
        </w:rPr>
        <w:t/>
        <w:t>个职能处室</w:t>
      </w:r>
      <w:r>
        <w:rPr>
          <w:rFonts w:hint="eastAsia" w:ascii="Times New Roman" w:hAnsi="Times New Roman" w:eastAsia="仿宋_GB2312" w:cs="仿宋_GB2312"/>
          <w:sz w:val="30"/>
          <w:szCs w:val="30"/>
          <w:highlight w:val="none"/>
          <w:lang w:eastAsia="zh-CN"/>
        </w:rPr>
        <w:t/>
        <w:t>；下辖0</w:t>
      </w:r>
      <w:r>
        <w:rPr>
          <w:rFonts w:hint="eastAsia" w:ascii="Times New Roman" w:hAnsi="Times New Roman" w:eastAsia="仿宋_GB2312" w:cs="仿宋_GB2312"/>
          <w:sz w:val="30"/>
          <w:szCs w:val="30"/>
          <w:highlight w:val="none"/>
          <w:lang w:eastAsia="zh-CN"/>
        </w:rPr>
        <w:t/>
        <w:t>个预算单位。纳入天津市长芦盐业总公司</w:t>
      </w:r>
      <w:r>
        <w:rPr>
          <w:rFonts w:hint="eastAsia" w:ascii="Times New Roman" w:hAnsi="Times New Roman" w:eastAsia="仿宋_GB2312" w:cs="仿宋_GB2312"/>
          <w:sz w:val="30"/>
          <w:szCs w:val="30"/>
          <w:highlight w:val="none"/>
          <w:lang w:eastAsia="zh-CN"/>
        </w:rPr>
        <w:t/>
        <w:t>2023年度部门决算编制范围的单位包括：</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天津市长芦盐业总公司</w:t>
      </w:r>
    </w:p>
    <w:p>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第二部分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lang w:eastAsia="zh-CN"/>
        </w:rPr>
        <w:t/>
        <w:t>2023</w:t>
      </w:r>
      <w:r>
        <w:rPr>
          <w:rFonts w:hint="eastAsia" w:ascii="Times New Roman" w:hAnsi="Times New Roman" w:eastAsia="方正小标宋简体" w:cs="方正小标宋简体"/>
          <w:kern w:val="44"/>
          <w:sz w:val="44"/>
          <w:szCs w:val="44"/>
          <w:highlight w:val="none"/>
        </w:rPr>
        <w:t/>
        <w:t>年度部门决算表</w:t>
      </w:r>
    </w:p>
    <w:p>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一、《收入支出决算总表》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二、《收入决算表（按功能分类列示）》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三、《收入决算表（按单位列示）》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四、《支出决算表》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五、《财政拨款收入支出决算总表》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六、《一般公共预算财政拨款支出决算表》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七、《一般公共预算财政拨款基本支出决算表》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八、《政府性基金预算财政拨款收入支出决算表》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九、《国有资本经营预算财政拨款收入支出决算表》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十、《财政拨款</w:t>
      </w:r>
      <w:r>
        <w:rPr>
          <w:rFonts w:ascii="Times New Roman" w:hAnsi="Times New Roman" w:eastAsia="黑体" w:cs="黑体"/>
          <w:kern w:val="0"/>
          <w:sz w:val="30"/>
          <w:szCs w:val="30"/>
          <w:highlight w:val="none"/>
        </w:rPr>
        <w:t/>
        <w:t>“</w:t>
      </w:r>
      <w:r>
        <w:rPr>
          <w:rFonts w:hint="eastAsia" w:ascii="Times New Roman" w:hAnsi="Times New Roman" w:eastAsia="黑体" w:cs="黑体"/>
          <w:kern w:val="0"/>
          <w:sz w:val="30"/>
          <w:szCs w:val="30"/>
          <w:highlight w:val="none"/>
        </w:rPr>
        <w:t/>
        <w:t>三公</w:t>
      </w:r>
      <w:r>
        <w:rPr>
          <w:rFonts w:ascii="Times New Roman" w:hAnsi="Times New Roman" w:eastAsia="黑体" w:cs="黑体"/>
          <w:kern w:val="0"/>
          <w:sz w:val="30"/>
          <w:szCs w:val="30"/>
          <w:highlight w:val="none"/>
        </w:rPr>
        <w:t/>
        <w:t>”</w:t>
      </w:r>
      <w:r>
        <w:rPr>
          <w:rFonts w:hint="eastAsia" w:ascii="Times New Roman" w:hAnsi="Times New Roman" w:eastAsia="黑体" w:cs="黑体"/>
          <w:kern w:val="0"/>
          <w:sz w:val="30"/>
          <w:szCs w:val="30"/>
          <w:highlight w:val="none"/>
        </w:rPr>
        <w:t/>
        <w:t>经费支出决算表》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十一、《项目支出决算表》</w:t>
      </w:r>
    </w:p>
    <w:p>
      <w:pPr>
        <w:autoSpaceDE w:val="0"/>
        <w:autoSpaceDN w:val="0"/>
        <w:adjustRightInd w:val="0"/>
        <w:spacing w:line="800" w:lineRule="exact"/>
        <w:jc w:val="left"/>
        <w:rPr>
          <w:rFonts w:ascii="Times New Roman" w:hAnsi="Times New Roman" w:eastAsia="楷体" w:cs="楷体"/>
          <w:kern w:val="0"/>
          <w:sz w:val="30"/>
          <w:szCs w:val="30"/>
          <w:highlight w:val="none"/>
        </w:rPr>
      </w:pPr>
      <w:r>
        <w:rPr>
          <w:rFonts w:hint="eastAsia" w:ascii="Times New Roman" w:hAnsi="Times New Roman" w:eastAsia="楷体" w:cs="楷体"/>
          <w:kern w:val="0"/>
          <w:sz w:val="30"/>
          <w:szCs w:val="30"/>
          <w:highlight w:val="none"/>
        </w:rPr>
        <w:t/>
        <w:t>注：以上决算公开表均作为附表，附于决算公开说明文档后。</w:t>
      </w:r>
    </w:p>
    <w:p>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b/>
          <w:bCs/>
          <w:kern w:val="0"/>
          <w:sz w:val="30"/>
          <w:szCs w:val="30"/>
          <w:highlight w:val="none"/>
        </w:rPr>
        <w:t/>
        <w:t>十二、关于空表的说明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1、天津市长芦盐业总公司2023年度政府性基金预算财政拨款收入支出决算表为空表。 2、天津市长芦盐业总公司2023年度国有资本经营预算财政拨款收入支出决算表为空表。 3、天津市长芦盐业总公司2023年度财政拨款“三公”经费支出决算表为空表。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第三部分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lang w:eastAsia="zh-CN"/>
        </w:rPr>
        <w:t/>
        <w:t>2023</w:t>
      </w:r>
      <w:r>
        <w:rPr>
          <w:rFonts w:hint="eastAsia" w:ascii="Times New Roman" w:hAnsi="Times New Roman" w:eastAsia="方正小标宋简体" w:cs="方正小标宋简体"/>
          <w:kern w:val="44"/>
          <w:sz w:val="44"/>
          <w:szCs w:val="44"/>
          <w:highlight w:val="none"/>
        </w:rPr>
        <w:t/>
        <w:t>年度部门决算情况说明</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一、收入支出决算总体情况说明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zh-CN" w:eastAsia="zh-CN"/>
        </w:rPr>
        <w:t/>
        <w:t>天津市长芦盐业总公司</w:t>
      </w:r>
      <w:r>
        <w:rPr>
          <w:rFonts w:hint="eastAsia" w:ascii="Times New Roman" w:hAnsi="Times New Roman" w:eastAsia="仿宋_GB2312" w:cs="仿宋_GB2312"/>
          <w:sz w:val="30"/>
          <w:szCs w:val="30"/>
          <w:highlight w:val="none"/>
          <w:lang w:val="zh-CN" w:eastAsia="zh-CN"/>
        </w:rPr>
        <w:t/>
        <w:t>2023年度收入、支出决算总计</w:t>
      </w:r>
      <w:r>
        <w:rPr>
          <w:rFonts w:hint="eastAsia" w:ascii="Times New Roman" w:hAnsi="Times New Roman" w:eastAsia="仿宋_GB2312" w:cs="仿宋_GB2312"/>
          <w:sz w:val="30"/>
          <w:szCs w:val="30"/>
          <w:highlight w:val="none"/>
          <w:lang w:eastAsia="zh-CN"/>
        </w:rPr>
        <w:t/>
        <w:t>1,239,063.60</w:t>
      </w:r>
      <w:r>
        <w:rPr>
          <w:rFonts w:hint="eastAsia" w:ascii="Times New Roman" w:hAnsi="Times New Roman" w:eastAsia="仿宋_GB2312" w:cs="仿宋_GB2312"/>
          <w:sz w:val="30"/>
          <w:szCs w:val="30"/>
          <w:highlight w:val="none"/>
          <w:lang w:eastAsia="zh-CN"/>
        </w:rPr>
        <w:t/>
        <w:t>元，与2022年度相比，收、支总计各增加781,026.52</w:t>
      </w:r>
      <w:r>
        <w:rPr>
          <w:rFonts w:hint="eastAsia" w:ascii="Times New Roman" w:hAnsi="Times New Roman" w:eastAsia="仿宋_GB2312" w:cs="仿宋_GB2312"/>
          <w:sz w:val="30"/>
          <w:szCs w:val="30"/>
          <w:highlight w:val="none"/>
          <w:lang w:eastAsia="zh-CN"/>
        </w:rPr>
        <w:t/>
        <w:t>元，增长170.52</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lang w:val="zh-CN" w:eastAsia="zh-CN"/>
        </w:rPr>
        <w:t/>
        <w:t>主要原因是</w:t>
      </w:r>
      <w:r>
        <w:rPr>
          <w:rFonts w:hint="eastAsia" w:ascii="Times New Roman" w:hAnsi="Times New Roman" w:eastAsia="仿宋_GB2312" w:cs="仿宋_GB2312"/>
          <w:sz w:val="30"/>
          <w:szCs w:val="30"/>
          <w:highlight w:val="none"/>
          <w:lang w:eastAsia="zh-CN"/>
        </w:rPr>
        <w:t/>
        <w:t>：一体化系统u盾异常，2022年度未使用财政拨款。</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二、</w:t>
      </w:r>
      <w:r>
        <w:rPr>
          <w:rFonts w:hint="eastAsia" w:ascii="Times New Roman" w:hAnsi="Times New Roman" w:eastAsia="黑体" w:cs="黑体"/>
          <w:b/>
          <w:bCs/>
          <w:kern w:val="0"/>
          <w:sz w:val="30"/>
          <w:szCs w:val="30"/>
          <w:highlight w:val="none"/>
        </w:rPr>
        <w:t/>
        <w:t>收入决算情况</w:t>
      </w:r>
      <w:r>
        <w:rPr>
          <w:rFonts w:hint="eastAsia" w:ascii="Times New Roman" w:hAnsi="Times New Roman" w:eastAsia="黑体" w:cs="黑体"/>
          <w:b/>
          <w:bCs/>
          <w:kern w:val="0"/>
          <w:sz w:val="30"/>
          <w:szCs w:val="30"/>
          <w:highlight w:val="none"/>
          <w:lang w:val="zh-CN"/>
        </w:rPr>
        <w:t/>
        <w:t>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
        <w:t>天津市长芦盐业总公司</w:t>
      </w:r>
      <w:r>
        <w:rPr>
          <w:rFonts w:hint="eastAsia" w:ascii="Times New Roman" w:hAnsi="Times New Roman" w:eastAsia="仿宋_GB2312" w:cs="Times New Roman"/>
          <w:sz w:val="30"/>
          <w:szCs w:val="30"/>
          <w:highlight w:val="none"/>
          <w:lang w:eastAsia="zh-CN"/>
        </w:rPr>
        <w:t/>
        <w:t>2023</w:t>
      </w:r>
      <w:r>
        <w:rPr>
          <w:rFonts w:hint="eastAsia" w:ascii="Times New Roman" w:hAnsi="Times New Roman" w:eastAsia="仿宋_GB2312" w:cs="仿宋_GB2312"/>
          <w:sz w:val="30"/>
          <w:szCs w:val="30"/>
          <w:highlight w:val="none"/>
          <w:lang w:val="zh-CN"/>
        </w:rPr>
        <w:t/>
        <w:t>年度本年收入合计</w:t>
      </w:r>
      <w:r>
        <w:rPr>
          <w:rFonts w:hint="eastAsia" w:ascii="Times New Roman" w:hAnsi="Times New Roman" w:eastAsia="仿宋_GB2312" w:cs="Times New Roman"/>
          <w:sz w:val="30"/>
          <w:szCs w:val="30"/>
          <w:highlight w:val="none"/>
          <w:lang w:eastAsia="zh-CN"/>
        </w:rPr>
        <w:t/>
        <w:t>1,239,063.60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eastAsia="zh-CN"/>
        </w:rPr>
        <w:t/>
        <w:t>增加</w:t>
      </w:r>
      <w:r>
        <w:rPr>
          <w:rFonts w:hint="eastAsia" w:ascii="Times New Roman" w:hAnsi="Times New Roman" w:eastAsia="仿宋_GB2312" w:cs="仿宋_GB2312"/>
          <w:sz w:val="30"/>
          <w:szCs w:val="30"/>
          <w:highlight w:val="none"/>
          <w:lang w:eastAsia="zh-CN"/>
        </w:rPr>
        <w:t/>
        <w:t>1,239,063.60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lang w:val="zh-CN"/>
        </w:rPr>
        <w:t/>
        <w:t>主要原因是</w:t>
      </w:r>
      <w:r>
        <w:rPr>
          <w:rFonts w:hint="eastAsia"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lang w:eastAsia="zh-CN"/>
        </w:rPr>
        <w:t/>
        <w:t>一体化系统u盾异常，2022年度未使用财政拨款。</w:t>
      </w:r>
    </w:p>
    <w:p>
      <w:pPr>
        <w:autoSpaceDE w:val="0"/>
        <w:autoSpaceDN w:val="0"/>
        <w:adjustRightInd w:val="0"/>
        <w:spacing w:line="600" w:lineRule="exact"/>
        <w:ind w:firstLine="600"/>
        <w:jc w:val="left"/>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
        <w:t>其中：</w:t>
      </w:r>
      <w:r>
        <w:rPr>
          <w:rFonts w:ascii="Times New Roman" w:hAnsi="Times New Roman" w:eastAsia="仿宋_GB2312" w:cs="仿宋_GB2312"/>
          <w:sz w:val="30"/>
          <w:szCs w:val="30"/>
          <w:highlight w:val="none"/>
          <w:lang w:val="zh-CN"/>
        </w:rPr>
        <w:t/>
        <w:t>一般公共预算财政拨款收入</w:t>
      </w:r>
      <w:r>
        <w:rPr>
          <w:rFonts w:hint="eastAsia" w:ascii="Times New Roman" w:hAnsi="Times New Roman" w:eastAsia="仿宋_GB2312" w:cs="Times New Roman"/>
          <w:sz w:val="30"/>
          <w:szCs w:val="30"/>
          <w:highlight w:val="none"/>
          <w:lang w:eastAsia="zh-CN"/>
        </w:rPr>
        <w:t/>
        <w:t>1,239,063.60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，占</w:t>
      </w:r>
      <w:r>
        <w:rPr>
          <w:rFonts w:hint="eastAsia" w:ascii="Times New Roman" w:hAnsi="Times New Roman" w:eastAsia="仿宋_GB2312" w:cs="Times New Roman"/>
          <w:sz w:val="30"/>
          <w:szCs w:val="30"/>
          <w:highlight w:val="none"/>
          <w:lang w:eastAsia="zh-CN"/>
        </w:rPr>
        <w:t/>
        <w:t>100.0</w:t>
      </w:r>
      <w:r>
        <w:rPr>
          <w:rFonts w:hint="eastAsia" w:ascii="Times New Roman" w:hAnsi="Times New Roman" w:eastAsia="宋体" w:cs="Times New Roman"/>
          <w:sz w:val="30"/>
          <w:szCs w:val="30"/>
          <w:highlight w:val="none"/>
          <w:lang w:eastAsia="zh-CN"/>
        </w:rPr>
        <w:t/>
        <w:t>%；</w:t>
      </w:r>
    </w:p>
    <w:p>
      <w:pPr>
        <w:autoSpaceDE w:val="0"/>
        <w:autoSpaceDN w:val="0"/>
        <w:adjustRightInd w:val="0"/>
        <w:spacing w:line="600" w:lineRule="exact"/>
        <w:ind w:firstLine="600" w:firstLineChars="2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政府性基金预算财政拨款收入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国有资本经营预算财政拨款收入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财政专户管理资金收入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事业收入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事业单位经营收入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上级补助收入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eastAsia="仿宋_GB2312"/>
          <w:sz w:val="30"/>
          <w:szCs w:val="30"/>
          <w:highlight w:val="none"/>
        </w:rPr>
        <w:t/>
        <w:t>附属单位上缴收入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lang w:val="zh-CN"/>
        </w:rPr>
        <w:t/>
        <w:t>其他收入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r>
        <w:rPr>
          <w:rFonts w:hint="eastAsia" w:ascii="Times New Roman" w:hAnsi="Times New Roman" w:eastAsia="仿宋_GB2312" w:cs="仿宋_GB2312"/>
          <w:sz w:val="30"/>
          <w:szCs w:val="30"/>
          <w:highlight w:val="none"/>
          <w:lang w:val="zh-CN" w:eastAsia="zh-CN"/>
        </w:rPr>
        <w:t/>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三、支出</w:t>
      </w:r>
      <w:r>
        <w:rPr>
          <w:rFonts w:hint="eastAsia" w:ascii="Times New Roman" w:hAnsi="Times New Roman" w:eastAsia="黑体" w:cs="黑体"/>
          <w:b/>
          <w:bCs/>
          <w:kern w:val="0"/>
          <w:sz w:val="30"/>
          <w:szCs w:val="30"/>
          <w:highlight w:val="none"/>
        </w:rPr>
        <w:t/>
        <w:t>决算情况说明</w:t>
      </w:r>
    </w:p>
    <w:p>
      <w:pPr>
        <w:autoSpaceDE w:val="0"/>
        <w:autoSpaceDN w:val="0"/>
        <w:adjustRightInd w:val="0"/>
        <w:spacing w:line="58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
        <w:t>天津市长芦盐业总公司</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年度本年支出合计</w:t>
      </w:r>
      <w:r>
        <w:rPr>
          <w:rFonts w:hint="eastAsia" w:ascii="Times New Roman" w:hAnsi="Times New Roman" w:eastAsia="仿宋_GB2312" w:cs="仿宋_GB2312"/>
          <w:sz w:val="30"/>
          <w:szCs w:val="30"/>
          <w:highlight w:val="none"/>
          <w:lang w:eastAsia="zh-CN"/>
        </w:rPr>
        <w:t/>
        <w:t>1,239,063.60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val="en-US" w:eastAsia="zh-CN"/>
        </w:rPr>
        <w:t/>
        <w:t>增加</w:t>
      </w:r>
      <w:r>
        <w:rPr>
          <w:rFonts w:hint="eastAsia" w:ascii="Times New Roman" w:hAnsi="Times New Roman" w:eastAsia="仿宋_GB2312" w:cs="仿宋_GB2312"/>
          <w:sz w:val="30"/>
          <w:szCs w:val="30"/>
          <w:highlight w:val="none"/>
          <w:lang w:eastAsia="zh-CN"/>
        </w:rPr>
        <w:t/>
        <w:t>781,026.52</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zh-CN"/>
        </w:rPr>
        <w:t/>
        <w:t>主要原因是</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lang w:eastAsia="zh-CN"/>
        </w:rPr>
        <w:t/>
        <w:t>一体化系统u盾异常，2022年度未使用财政拨款。</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
        <w:t>其中：</w:t>
      </w:r>
      <w:r>
        <w:rPr>
          <w:rFonts w:ascii="Times New Roman" w:hAnsi="Times New Roman" w:eastAsia="仿宋_GB2312" w:cs="仿宋_GB2312"/>
          <w:sz w:val="30"/>
          <w:szCs w:val="30"/>
          <w:highlight w:val="none"/>
        </w:rPr>
        <w:t/>
        <w:t>基本支出</w:t>
      </w:r>
      <w:r>
        <w:rPr>
          <w:rFonts w:hint="eastAsia" w:ascii="Times New Roman" w:hAnsi="Times New Roman" w:eastAsia="仿宋_GB2312" w:cs="仿宋_GB2312"/>
          <w:sz w:val="30"/>
          <w:szCs w:val="30"/>
          <w:highlight w:val="none"/>
          <w:lang w:eastAsia="zh-CN"/>
        </w:rPr>
        <w:t/>
        <w:t>532,000.00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w:t>
      </w:r>
      <w:r>
        <w:rPr>
          <w:rFonts w:hint="eastAsia" w:ascii="Times New Roman" w:hAnsi="Times New Roman" w:eastAsia="仿宋_GB2312" w:cs="仿宋_GB2312"/>
          <w:sz w:val="30"/>
          <w:szCs w:val="30"/>
          <w:highlight w:val="none"/>
          <w:lang w:val="en-US" w:eastAsia="zh-CN"/>
        </w:rPr>
        <w:t/>
        <w:t>42.94</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项目支出</w:t>
      </w:r>
      <w:r>
        <w:rPr>
          <w:rFonts w:hint="eastAsia" w:ascii="Times New Roman" w:hAnsi="Times New Roman" w:eastAsia="仿宋_GB2312" w:cs="仿宋_GB2312"/>
          <w:sz w:val="30"/>
          <w:szCs w:val="30"/>
          <w:highlight w:val="none"/>
          <w:lang w:eastAsia="zh-CN"/>
        </w:rPr>
        <w:t/>
        <w:t>707,063.60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占57.06</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上缴上级支出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经营支出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r>
        <w:rPr>
          <w:rFonts w:ascii="Times New Roman" w:hAnsi="Times New Roman" w:eastAsia="仿宋_GB2312" w:cs="仿宋_GB2312"/>
          <w:sz w:val="30"/>
          <w:szCs w:val="30"/>
          <w:highlight w:val="none"/>
        </w:rPr>
        <w:t/>
        <w:t>对附属单位补助支出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四、财政拨款收支决算总体情况说明</w:t>
      </w:r>
    </w:p>
    <w:p>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
        <w:t>天津市长芦盐业总公司</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年度财政拨款收入、支出决算总计</w:t>
      </w:r>
      <w:r>
        <w:rPr>
          <w:rFonts w:hint="eastAsia" w:ascii="Times New Roman" w:hAnsi="Times New Roman" w:eastAsia="仿宋_GB2312" w:cs="Times New Roman"/>
          <w:sz w:val="30"/>
          <w:szCs w:val="30"/>
          <w:highlight w:val="none"/>
          <w:lang w:val="zh-CN"/>
        </w:rPr>
        <w:t/>
        <w:t>1,239,063.60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年度相比，财政拨款收、支总计各</w:t>
      </w:r>
      <w:r>
        <w:rPr>
          <w:rFonts w:hint="eastAsia" w:ascii="Times New Roman" w:hAnsi="Times New Roman" w:eastAsia="仿宋_GB2312" w:cs="仿宋_GB2312"/>
          <w:sz w:val="30"/>
          <w:szCs w:val="30"/>
          <w:highlight w:val="none"/>
          <w:lang w:val="en-US" w:eastAsia="zh-CN"/>
        </w:rPr>
        <w:t/>
        <w:t>增加</w:t>
      </w:r>
      <w:r>
        <w:rPr>
          <w:rFonts w:hint="eastAsia" w:ascii="Times New Roman" w:hAnsi="Times New Roman" w:eastAsia="仿宋_GB2312" w:cs="仿宋_GB2312"/>
          <w:sz w:val="30"/>
          <w:szCs w:val="30"/>
          <w:highlight w:val="none"/>
          <w:lang w:eastAsia="zh-CN"/>
        </w:rPr>
        <w:t/>
        <w:t>781,026.52</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en-US" w:eastAsia="zh-CN"/>
        </w:rPr>
        <w:t/>
        <w:t>增长</w:t>
      </w:r>
      <w:r>
        <w:rPr>
          <w:rFonts w:hint="eastAsia" w:ascii="Times New Roman" w:hAnsi="Times New Roman" w:eastAsia="仿宋_GB2312" w:cs="仿宋_GB2312"/>
          <w:sz w:val="30"/>
          <w:szCs w:val="30"/>
          <w:highlight w:val="none"/>
          <w:lang w:eastAsia="zh-CN"/>
        </w:rPr>
        <w:t/>
        <w:t>170.52</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val="zh-CN"/>
        </w:rPr>
        <w:t/>
        <w:t>主要原因是：</w:t>
      </w:r>
      <w:r>
        <w:rPr>
          <w:rFonts w:hint="eastAsia" w:ascii="Times New Roman" w:hAnsi="Times New Roman" w:eastAsia="仿宋_GB2312" w:cs="仿宋_GB2312"/>
          <w:sz w:val="30"/>
          <w:szCs w:val="30"/>
          <w:highlight w:val="none"/>
          <w:lang w:eastAsia="zh-CN"/>
        </w:rPr>
        <w:t/>
        <w:t>一体化系统u盾异常，2022年度未使用财政拨款。</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五、一般公共预算财政拨款支出决算情况说明</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（一）总体情况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天津市长芦盐业总公司</w:t>
      </w:r>
      <w:r>
        <w:rPr>
          <w:rFonts w:hint="eastAsia" w:ascii="Times New Roman" w:hAnsi="Times New Roman" w:eastAsia="仿宋_GB2312" w:cs="仿宋_GB2312"/>
          <w:sz w:val="30"/>
          <w:szCs w:val="30"/>
          <w:highlight w:val="none"/>
          <w:lang w:eastAsia="zh-CN"/>
        </w:rPr>
        <w:t/>
        <w:t>2023年度部门决算一般公共预算财政拨款支出</w:t>
      </w:r>
      <w:r>
        <w:rPr>
          <w:rFonts w:hint="eastAsia" w:ascii="Times New Roman" w:hAnsi="Times New Roman" w:eastAsia="仿宋_GB2312" w:cs="仿宋_GB2312"/>
          <w:sz w:val="30"/>
          <w:szCs w:val="30"/>
          <w:highlight w:val="none"/>
          <w:lang w:val="zh-CN" w:eastAsia="zh-CN"/>
        </w:rPr>
        <w:t/>
        <w:t>合</w:t>
      </w:r>
      <w:r>
        <w:rPr>
          <w:rFonts w:hint="eastAsia" w:ascii="Times New Roman" w:hAnsi="Times New Roman" w:eastAsia="仿宋_GB2312" w:cs="仿宋_GB2312"/>
          <w:sz w:val="30"/>
          <w:szCs w:val="30"/>
          <w:highlight w:val="none"/>
          <w:lang w:eastAsia="zh-CN"/>
        </w:rPr>
        <w:t/>
        <w:t>计1,239,063.60</w:t>
      </w:r>
      <w:r>
        <w:rPr>
          <w:rFonts w:hint="eastAsia" w:ascii="Times New Roman" w:hAnsi="Times New Roman" w:eastAsia="仿宋_GB2312" w:cs="仿宋_GB2312"/>
          <w:sz w:val="30"/>
          <w:szCs w:val="30"/>
          <w:highlight w:val="none"/>
          <w:lang w:eastAsia="zh-CN"/>
        </w:rPr>
        <w:t/>
        <w:t>元，占本年支出合计的100.0</w:t>
      </w:r>
      <w:r>
        <w:rPr>
          <w:rFonts w:hint="eastAsia" w:ascii="Times New Roman" w:hAnsi="Times New Roman" w:eastAsia="仿宋_GB2312" w:cs="仿宋_GB2312"/>
          <w:sz w:val="30"/>
          <w:szCs w:val="30"/>
          <w:highlight w:val="none"/>
          <w:lang w:eastAsia="zh-CN"/>
        </w:rPr>
        <w:t/>
        <w:t>%，与2022年度相比，一般公共预算财政拨款支出</w:t>
      </w:r>
      <w:r>
        <w:rPr>
          <w:rFonts w:hint="eastAsia" w:ascii="Times New Roman" w:hAnsi="Times New Roman" w:eastAsia="仿宋_GB2312" w:cs="仿宋_GB2312"/>
          <w:sz w:val="30"/>
          <w:szCs w:val="30"/>
          <w:highlight w:val="none"/>
          <w:lang w:val="en-US" w:eastAsia="zh-CN"/>
        </w:rPr>
        <w:t/>
        <w:t>增加</w:t>
      </w:r>
      <w:r>
        <w:rPr>
          <w:rFonts w:hint="eastAsia" w:ascii="Times New Roman" w:hAnsi="Times New Roman" w:eastAsia="仿宋_GB2312" w:cs="仿宋_GB2312"/>
          <w:sz w:val="30"/>
          <w:szCs w:val="30"/>
          <w:highlight w:val="none"/>
          <w:lang w:eastAsia="zh-CN"/>
        </w:rPr>
        <w:t/>
        <w:t>781,026.52</w:t>
      </w:r>
      <w:r>
        <w:rPr>
          <w:rFonts w:hint="eastAsia" w:ascii="Times New Roman" w:hAnsi="Times New Roman" w:eastAsia="仿宋_GB2312" w:cs="仿宋_GB2312"/>
          <w:sz w:val="30"/>
          <w:szCs w:val="30"/>
          <w:highlight w:val="none"/>
          <w:lang w:eastAsia="zh-CN"/>
        </w:rPr>
        <w:t/>
        <w:t>元，</w:t>
      </w:r>
      <w:r>
        <w:rPr>
          <w:rFonts w:hint="eastAsia" w:ascii="Times New Roman" w:hAnsi="Times New Roman" w:eastAsia="仿宋_GB2312" w:cs="仿宋_GB2312"/>
          <w:sz w:val="30"/>
          <w:szCs w:val="30"/>
          <w:highlight w:val="none"/>
          <w:lang w:val="en-US" w:eastAsia="zh-CN"/>
        </w:rPr>
        <w:t/>
        <w:t>增长</w:t>
      </w:r>
      <w:r>
        <w:rPr>
          <w:rFonts w:hint="eastAsia" w:ascii="Times New Roman" w:hAnsi="Times New Roman" w:eastAsia="仿宋_GB2312" w:cs="仿宋_GB2312"/>
          <w:sz w:val="30"/>
          <w:szCs w:val="30"/>
          <w:highlight w:val="none"/>
          <w:lang w:eastAsia="zh-CN"/>
        </w:rPr>
        <w:t/>
        <w:t>170.52</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lang w:val="zh-CN" w:eastAsia="zh-CN"/>
        </w:rPr>
        <w:t/>
        <w:t>主要原因是</w:t>
      </w:r>
      <w:r>
        <w:rPr>
          <w:rFonts w:hint="eastAsia" w:ascii="Times New Roman" w:hAnsi="Times New Roman" w:eastAsia="仿宋_GB2312" w:cs="仿宋_GB2312"/>
          <w:sz w:val="30"/>
          <w:szCs w:val="30"/>
          <w:highlight w:val="none"/>
          <w:lang w:eastAsia="zh-CN"/>
        </w:rPr>
        <w:t/>
        <w:t>：一体化系统u盾异常，2022年度未使用财政拨款。</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（二）</w:t>
      </w:r>
      <w:r>
        <w:rPr>
          <w:rFonts w:hint="eastAsia" w:ascii="Times New Roman" w:hAnsi="Times New Roman" w:eastAsia="楷体" w:cs="楷体"/>
          <w:b/>
          <w:bCs/>
          <w:kern w:val="0"/>
          <w:sz w:val="30"/>
          <w:szCs w:val="30"/>
          <w:highlight w:val="none"/>
          <w:lang w:val="zh-CN"/>
        </w:rPr>
        <w:t/>
        <w:t>支出结构</w:t>
      </w:r>
      <w:r>
        <w:rPr>
          <w:rFonts w:hint="eastAsia" w:ascii="Times New Roman" w:hAnsi="Times New Roman" w:eastAsia="楷体" w:cs="楷体"/>
          <w:b/>
          <w:bCs/>
          <w:kern w:val="0"/>
          <w:sz w:val="30"/>
          <w:szCs w:val="30"/>
          <w:highlight w:val="none"/>
        </w:rPr>
        <w:t/>
        <w:t>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2023</w:t>
      </w:r>
      <w:r>
        <w:rPr>
          <w:rFonts w:hint="eastAsia" w:ascii="Times New Roman" w:hAnsi="Times New Roman" w:eastAsia="仿宋_GB2312" w:cs="仿宋_GB2312"/>
          <w:sz w:val="30"/>
          <w:szCs w:val="30"/>
          <w:highlight w:val="none"/>
        </w:rPr>
        <w:t/>
        <w:t>年度一般公共预算财政拨款支出</w:t>
      </w:r>
      <w:r>
        <w:rPr>
          <w:rFonts w:hint="eastAsia" w:ascii="Times New Roman" w:hAnsi="Times New Roman" w:eastAsia="仿宋_GB2312" w:cs="Times New Roman"/>
          <w:sz w:val="30"/>
          <w:szCs w:val="30"/>
          <w:highlight w:val="none"/>
          <w:lang w:eastAsia="zh-CN"/>
        </w:rPr>
        <w:t/>
        <w:t>1,239,063.60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rPr>
        <w:t/>
        <w:t>主要用于以下方面：</w:t>
      </w:r>
      <w:r>
        <w:rPr>
          <w:rFonts w:hint="eastAsia" w:ascii="Times New Roman" w:hAnsi="Times New Roman" w:eastAsia="仿宋_GB2312" w:cs="仿宋_GB2312"/>
          <w:sz w:val="30"/>
          <w:szCs w:val="30"/>
          <w:highlight w:val="none"/>
          <w:lang w:eastAsia="zh-CN"/>
        </w:rPr>
        <w:t/>
        <w:t>社会保障和就业支出（类）支出1219063.6元，占98.39%，卫生健康支出（类）支出20000元，占1.61%。</w:t>
      </w:r>
    </w:p>
    <w:p>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（三）具体情况</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年度一般公共预算财政拨款支出年初预算为</w:t>
      </w:r>
      <w:r>
        <w:rPr>
          <w:rFonts w:hint="eastAsia" w:ascii="Times New Roman" w:hAnsi="Times New Roman" w:eastAsia="仿宋_GB2312" w:cs="Times New Roman"/>
          <w:sz w:val="30"/>
          <w:szCs w:val="30"/>
          <w:highlight w:val="none"/>
          <w:lang w:eastAsia="zh-CN"/>
        </w:rPr>
        <w:t/>
        <w:t>532,000.00</w:t>
      </w:r>
      <w:r>
        <w:rPr>
          <w:rFonts w:hint="eastAsia" w:ascii="Times New Roman" w:hAnsi="Times New Roman" w:eastAsia="仿宋_GB2312" w:cs="仿宋_GB2312"/>
          <w:kern w:val="0"/>
          <w:sz w:val="30"/>
          <w:szCs w:val="30"/>
          <w:highlight w:val="none"/>
        </w:rPr>
        <w:t/>
        <w:t>元，支出决算为</w:t>
      </w:r>
      <w:r>
        <w:rPr>
          <w:rFonts w:hint="eastAsia" w:ascii="Times New Roman" w:hAnsi="Times New Roman" w:eastAsia="仿宋_GB2312" w:cs="Times New Roman"/>
          <w:sz w:val="30"/>
          <w:szCs w:val="30"/>
          <w:highlight w:val="none"/>
          <w:lang w:eastAsia="zh-CN"/>
        </w:rPr>
        <w:t/>
        <w:t>1,239,063.60</w:t>
      </w:r>
      <w:r>
        <w:rPr>
          <w:rFonts w:hint="eastAsia" w:ascii="Times New Roman" w:hAnsi="Times New Roman" w:eastAsia="仿宋_GB2312" w:cs="仿宋_GB2312"/>
          <w:kern w:val="0"/>
          <w:sz w:val="30"/>
          <w:szCs w:val="30"/>
          <w:highlight w:val="none"/>
        </w:rPr>
        <w:t/>
        <w:t>元，完成年初预算的</w:t>
      </w:r>
      <w:r>
        <w:rPr>
          <w:rFonts w:hint="eastAsia" w:ascii="Times New Roman" w:hAnsi="Times New Roman" w:eastAsia="仿宋_GB2312" w:cs="Times New Roman"/>
          <w:sz w:val="30"/>
          <w:szCs w:val="30"/>
          <w:highlight w:val="none"/>
          <w:lang w:eastAsia="zh-CN"/>
        </w:rPr>
        <w:t/>
        <w:t>232.91</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
        <w:t>1.社会保障和就业支出（类）行政事业单位养老支出（款）行政单位离退休（项）年初预算为512000元，支出决算为1219063.6元，完成年初预算的238.10%，决算数大于年初预算数的主要原因是2023年度额外产生抚恤金支出707063.6元。2.卫生健康支出（类）行政事业单位医疗（款）行政单位医疗（项）年初预算为20000元，支出决算为20000元，完成年度预算的100%。</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六、一般公共预算财政拨款基本支出决算情况说明</w:t>
      </w:r>
    </w:p>
    <w:p>
      <w:pPr>
        <w:autoSpaceDE w:val="0"/>
        <w:autoSpaceDN w:val="0"/>
        <w:adjustRightInd w:val="0"/>
        <w:spacing w:line="600" w:lineRule="exact"/>
        <w:ind w:firstLine="7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天津市长芦盐业总公司</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年度部门决算一般公共预算财政拨款基本支出合计</w:t>
      </w:r>
      <w:r>
        <w:rPr>
          <w:rFonts w:hint="eastAsia" w:ascii="Times New Roman" w:hAnsi="Times New Roman" w:eastAsia="仿宋_GB2312" w:cs="Times New Roman"/>
          <w:sz w:val="30"/>
          <w:szCs w:val="30"/>
          <w:highlight w:val="none"/>
          <w:lang w:eastAsia="zh-CN"/>
        </w:rPr>
        <w:t/>
        <w:t>532,000.00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val="en-US" w:eastAsia="zh-CN"/>
        </w:rPr>
        <w:t/>
        <w:t>增加</w:t>
      </w:r>
      <w:r>
        <w:rPr>
          <w:rFonts w:hint="eastAsia" w:ascii="Times New Roman" w:hAnsi="Times New Roman" w:eastAsia="仿宋_GB2312" w:cs="仿宋_GB2312"/>
          <w:sz w:val="30"/>
          <w:szCs w:val="30"/>
          <w:highlight w:val="none"/>
          <w:lang w:eastAsia="zh-CN"/>
        </w:rPr>
        <w:t/>
        <w:t>73,962.92</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rPr>
        <w:t/>
        <w:t>：</w:t>
      </w:r>
      <w:r>
        <w:rPr>
          <w:rFonts w:hint="eastAsia" w:ascii="Times New Roman" w:hAnsi="Times New Roman" w:eastAsia="仿宋_GB2312" w:cs="仿宋_GB2312"/>
          <w:sz w:val="30"/>
          <w:szCs w:val="30"/>
          <w:highlight w:val="none"/>
          <w:lang w:eastAsia="zh-CN"/>
        </w:rPr>
        <w:t/>
        <w:t>一体化系统u盾异常，2022年度未使用财政拨款。</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
        <w:t>人员经费</w:t>
      </w:r>
      <w:r>
        <w:rPr>
          <w:rFonts w:hint="eastAsia" w:ascii="Times New Roman" w:hAnsi="Times New Roman" w:eastAsia="仿宋_GB2312" w:cs="Times New Roman"/>
          <w:sz w:val="30"/>
          <w:szCs w:val="30"/>
          <w:highlight w:val="none"/>
          <w:lang w:eastAsia="zh-CN"/>
        </w:rPr>
        <w:t/>
        <w:t>532,000.00</w:t>
      </w:r>
      <w:r>
        <w:rPr>
          <w:rFonts w:hint="eastAsia" w:ascii="Times New Roman" w:hAnsi="Times New Roman" w:eastAsia="仿宋_GB2312" w:cs="仿宋_GB2312"/>
          <w:kern w:val="0"/>
          <w:sz w:val="30"/>
          <w:szCs w:val="30"/>
          <w:highlight w:val="none"/>
        </w:rPr>
        <w:t/>
        <w:t>元，主要包括</w:t>
      </w:r>
      <w:r>
        <w:rPr>
          <w:rFonts w:hint="eastAsia" w:ascii="Times New Roman" w:hAnsi="Times New Roman" w:eastAsia="仿宋_GB2312" w:cs="仿宋_GB2312"/>
          <w:sz w:val="30"/>
          <w:szCs w:val="30"/>
          <w:highlight w:val="none"/>
          <w:lang w:eastAsia="zh-CN"/>
        </w:rPr>
        <w:t/>
        <w:t>离休费及退休费。</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
        <w:t>公用经费</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元，主要包括</w:t>
      </w:r>
      <w:r>
        <w:rPr>
          <w:rFonts w:hint="eastAsia" w:ascii="Times New Roman" w:hAnsi="Times New Roman" w:eastAsia="仿宋_GB2312" w:cs="仿宋_GB2312"/>
          <w:sz w:val="30"/>
          <w:szCs w:val="30"/>
          <w:highlight w:val="none"/>
          <w:lang w:eastAsia="zh-CN"/>
        </w:rPr>
        <w:t/>
        <w:t>无</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七、政府性基金预算财政拨款收支决算情况</w:t>
      </w:r>
    </w:p>
    <w:p>
      <w:pPr>
        <w:autoSpaceDE w:val="0"/>
        <w:autoSpaceDN w:val="0"/>
        <w:adjustRightInd w:val="0"/>
        <w:spacing w:line="58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天津市长芦盐业总公司</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年度部门决算政府性基金预算财政拨款</w:t>
      </w:r>
      <w:r>
        <w:rPr>
          <w:rFonts w:hint="eastAsia" w:ascii="Times New Roman" w:hAnsi="Times New Roman" w:eastAsia="仿宋_GB2312" w:cs="仿宋_GB2312"/>
          <w:kern w:val="0"/>
          <w:sz w:val="30"/>
          <w:szCs w:val="30"/>
          <w:highlight w:val="none"/>
        </w:rPr>
        <w:t/>
        <w:t>年初结转和结余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rPr>
        <w:t/>
        <w:t>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元，年末结转和结余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年度相比，政府性基金财政拨款支出</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lang w:val="zh-CN"/>
        </w:rPr>
        <w:t/>
        <w:t>：</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
        <w:t>天津市长芦盐业总公司2023年度无政府性基金预算财政拨款收入、支出和结转结余。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八、国有资本经营预算财政拨款收支决算情况说明</w:t>
      </w:r>
      <w:bookmarkStart w:id="0" w:name="_GoBack"/>
      <w:bookmarkEnd w:id="0"/>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
        <w:t>天津市长芦盐业总公司</w:t>
      </w:r>
      <w:r>
        <w:rPr>
          <w:rFonts w:hint="eastAsia" w:ascii="Times New Roman" w:hAnsi="Times New Roman" w:eastAsia="宋体" w:cs="宋体"/>
          <w:color w:val="000000"/>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年度部门决算国有资本经营预算财政拨款年初结转和结余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元，年末结余和结余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元。与</w:t>
      </w:r>
      <w:r>
        <w:rPr>
          <w:rFonts w:hint="eastAsia" w:ascii="Times New Roman" w:hAnsi="Times New Roman" w:eastAsia="仿宋_GB2312" w:cs="仿宋_GB2312"/>
          <w:kern w:val="0"/>
          <w:sz w:val="30"/>
          <w:szCs w:val="30"/>
          <w:highlight w:val="none"/>
          <w:lang w:eastAsia="zh-CN"/>
        </w:rPr>
        <w:t/>
        <w:t>2022</w:t>
      </w:r>
      <w:r>
        <w:rPr>
          <w:rFonts w:hint="eastAsia" w:ascii="Times New Roman" w:hAnsi="Times New Roman" w:eastAsia="仿宋_GB2312" w:cs="仿宋_GB2312"/>
          <w:kern w:val="0"/>
          <w:sz w:val="30"/>
          <w:szCs w:val="30"/>
          <w:highlight w:val="none"/>
        </w:rPr>
        <w:t/>
        <w:t>年度相比，国有资本经营预算财政拨款支出</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lang w:val="zh-CN"/>
        </w:rPr>
        <w:t/>
        <w:t>：</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天津市长芦盐业总公司2023年度无国有资本经营预算财政拨款收入、支出和结转结余。</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九、财政拨款</w:t>
      </w:r>
      <w:r>
        <w:rPr>
          <w:rFonts w:ascii="Times New Roman" w:hAnsi="Times New Roman" w:eastAsia="黑体" w:cs="黑体"/>
          <w:b/>
          <w:bCs/>
          <w:kern w:val="0"/>
          <w:sz w:val="30"/>
          <w:szCs w:val="30"/>
          <w:highlight w:val="none"/>
        </w:rPr>
        <w:t/>
        <w:t>“</w:t>
      </w:r>
      <w:r>
        <w:rPr>
          <w:rFonts w:hint="eastAsia" w:ascii="Times New Roman" w:hAnsi="Times New Roman" w:eastAsia="黑体" w:cs="黑体"/>
          <w:b/>
          <w:bCs/>
          <w:kern w:val="0"/>
          <w:sz w:val="30"/>
          <w:szCs w:val="30"/>
          <w:highlight w:val="none"/>
        </w:rPr>
        <w:t/>
        <w:t>三公</w:t>
      </w:r>
      <w:r>
        <w:rPr>
          <w:rFonts w:ascii="Times New Roman" w:hAnsi="Times New Roman" w:eastAsia="黑体" w:cs="黑体"/>
          <w:b/>
          <w:bCs/>
          <w:kern w:val="0"/>
          <w:sz w:val="30"/>
          <w:szCs w:val="30"/>
          <w:highlight w:val="none"/>
        </w:rPr>
        <w:t/>
        <w:t>”</w:t>
      </w:r>
      <w:r>
        <w:rPr>
          <w:rFonts w:hint="eastAsia" w:ascii="Times New Roman" w:hAnsi="Times New Roman" w:eastAsia="黑体" w:cs="黑体"/>
          <w:b/>
          <w:bCs/>
          <w:kern w:val="0"/>
          <w:sz w:val="30"/>
          <w:szCs w:val="30"/>
          <w:highlight w:val="none"/>
        </w:rPr>
        <w:t/>
        <w:t>经费</w:t>
      </w:r>
      <w:r>
        <w:rPr>
          <w:rFonts w:hint="eastAsia" w:ascii="Times New Roman" w:hAnsi="Times New Roman" w:eastAsia="黑体" w:cs="黑体"/>
          <w:b/>
          <w:bCs/>
          <w:kern w:val="0"/>
          <w:sz w:val="30"/>
          <w:szCs w:val="30"/>
          <w:highlight w:val="none"/>
          <w:lang w:val="zh-CN"/>
        </w:rPr>
        <w:t/>
        <w:t>支出决算</w:t>
      </w:r>
      <w:r>
        <w:rPr>
          <w:rFonts w:hint="eastAsia" w:ascii="Times New Roman" w:hAnsi="Times New Roman" w:eastAsia="黑体" w:cs="黑体"/>
          <w:b/>
          <w:bCs/>
          <w:kern w:val="0"/>
          <w:sz w:val="30"/>
          <w:szCs w:val="30"/>
          <w:highlight w:val="none"/>
        </w:rPr>
        <w:t/>
        <w:t>情况</w:t>
      </w:r>
    </w:p>
    <w:p>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w:t>
      </w: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（二）具体情况</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1.</w:t>
      </w:r>
      <w:r>
        <w:rPr>
          <w:rFonts w:hint="eastAsia" w:ascii="Times New Roman" w:hAnsi="Times New Roman" w:eastAsia="仿宋_GB2312" w:cs="仿宋_GB2312"/>
          <w:kern w:val="0"/>
          <w:sz w:val="30"/>
          <w:szCs w:val="30"/>
          <w:highlight w:val="none"/>
        </w:rPr>
        <w:t/>
        <w:t>因公出国（境）费预算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年本单位组织的出国团组</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个，出国</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w:t>
      </w:r>
      <w:r>
        <w:rPr>
          <w:rFonts w:hint="eastAsia" w:ascii="Times New Roman" w:hAnsi="Times New Roman" w:eastAsia="仿宋_GB2312" w:cs="仿宋_GB2312"/>
          <w:kern w:val="0"/>
          <w:sz w:val="30"/>
          <w:szCs w:val="30"/>
          <w:highlight w:val="none"/>
        </w:rPr>
        <w:t/>
        <w:t>公务用车购置及运行维护费预算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lang w:eastAsia="zh-CN"/>
        </w:rPr>
        <w:t/>
        <w:t>；</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
        <w:t>公务用车运行维护费预算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截至</w:t>
      </w: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w:t>
      </w:r>
      <w:r>
        <w:rPr>
          <w:rFonts w:ascii="Times New Roman" w:hAnsi="Times New Roman" w:eastAsia="仿宋_GB2312" w:cs="仿宋_GB2312"/>
          <w:kern w:val="0"/>
          <w:sz w:val="30"/>
          <w:szCs w:val="30"/>
          <w:highlight w:val="none"/>
        </w:rPr>
        <w:t/>
        <w:t>12</w:t>
      </w:r>
      <w:r>
        <w:rPr>
          <w:rFonts w:hint="eastAsia" w:ascii="Times New Roman" w:hAnsi="Times New Roman" w:eastAsia="仿宋_GB2312" w:cs="仿宋_GB2312"/>
          <w:kern w:val="0"/>
          <w:sz w:val="30"/>
          <w:szCs w:val="30"/>
          <w:highlight w:val="none"/>
        </w:rPr>
        <w:t/>
        <w:t>月</w:t>
      </w:r>
      <w:r>
        <w:rPr>
          <w:rFonts w:ascii="Times New Roman" w:hAnsi="Times New Roman" w:eastAsia="仿宋_GB2312" w:cs="仿宋_GB2312"/>
          <w:kern w:val="0"/>
          <w:sz w:val="30"/>
          <w:szCs w:val="30"/>
          <w:highlight w:val="none"/>
        </w:rPr>
        <w:t/>
        <w:t>31</w:t>
      </w:r>
      <w:r>
        <w:rPr>
          <w:rFonts w:hint="eastAsia" w:ascii="Times New Roman" w:hAnsi="Times New Roman" w:eastAsia="仿宋_GB2312" w:cs="仿宋_GB2312"/>
          <w:kern w:val="0"/>
          <w:sz w:val="30"/>
          <w:szCs w:val="30"/>
          <w:highlight w:val="none"/>
        </w:rPr>
        <w:t/>
        <w:t>日，使用财政拨款开支运行维护费的公务用车保有量为</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辆。</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
        <w:t>公务用车购置费预算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年购置公务用车</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辆。</w:t>
      </w:r>
    </w:p>
    <w:p>
      <w:pPr>
        <w:autoSpaceDE w:val="0"/>
        <w:autoSpaceDN w:val="0"/>
        <w:adjustRightInd w:val="0"/>
        <w:spacing w:line="600" w:lineRule="exact"/>
        <w:ind w:firstLine="645"/>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3.</w:t>
      </w:r>
      <w:r>
        <w:rPr>
          <w:rFonts w:hint="eastAsia" w:ascii="Times New Roman" w:hAnsi="Times New Roman" w:eastAsia="仿宋_GB2312" w:cs="仿宋_GB2312"/>
          <w:kern w:val="0"/>
          <w:sz w:val="30"/>
          <w:szCs w:val="30"/>
          <w:highlight w:val="none"/>
        </w:rPr>
        <w:t/>
        <w:t>公务接待费预算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年本单位国内公务接待</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批次，</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人次；其中，外事接待</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批次，</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十、机关运行经费支出情况说明</w:t>
      </w:r>
    </w:p>
    <w:p>
      <w:pPr>
        <w:autoSpaceDE w:val="0"/>
        <w:autoSpaceDN w:val="0"/>
        <w:adjustRightInd w:val="0"/>
        <w:spacing w:line="58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机关运行经费是指行政单位和参照公务员法管理的事业单位使用一般公共预算财政拨款安排的基本支出中的日常公用经费支出，</w:t>
      </w:r>
      <w:r>
        <w:rPr>
          <w:rFonts w:hint="eastAsia" w:ascii="Times New Roman" w:hAnsi="Times New Roman" w:eastAsia="仿宋_GB2312" w:cs="Times New Roman"/>
          <w:kern w:val="0"/>
          <w:sz w:val="30"/>
          <w:szCs w:val="30"/>
          <w:highlight w:val="none"/>
          <w:lang w:eastAsia="zh-CN"/>
        </w:rPr>
        <w:t/>
        <w:t>天津市长芦盐业总公司</w:t>
      </w:r>
      <w:r>
        <w:rPr>
          <w:rFonts w:hint="eastAsia" w:ascii="Times New Roman" w:hAnsi="Times New Roman" w:eastAsia="宋体" w:cs="宋体"/>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年度机关运行经费决算数</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元，比</w:t>
      </w:r>
      <w:r>
        <w:rPr>
          <w:rFonts w:hint="eastAsia" w:ascii="Times New Roman" w:hAnsi="Times New Roman" w:eastAsia="仿宋_GB2312" w:cs="Times New Roman"/>
          <w:kern w:val="0"/>
          <w:sz w:val="30"/>
          <w:szCs w:val="30"/>
          <w:highlight w:val="none"/>
          <w:lang w:eastAsia="zh-CN"/>
        </w:rPr>
        <w:t/>
        <w:t>2022</w:t>
      </w:r>
      <w:r>
        <w:rPr>
          <w:rFonts w:hint="eastAsia" w:ascii="Times New Roman" w:hAnsi="Times New Roman" w:eastAsia="仿宋_GB2312" w:cs="仿宋_GB2312"/>
          <w:kern w:val="0"/>
          <w:sz w:val="30"/>
          <w:szCs w:val="30"/>
          <w:highlight w:val="none"/>
        </w:rPr>
        <w:t/>
        <w:t>年</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天津市长芦盐业总公司2023年度无机关运行经费。</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十一、政府采购支出情况说明</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
        <w:t>天津市长芦盐业总公司</w:t>
      </w:r>
      <w:r>
        <w:rPr>
          <w:rFonts w:hint="eastAsia" w:ascii="Times New Roman" w:hAnsi="Times New Roman" w:eastAsia="宋体" w:cs="宋体"/>
          <w:color w:val="000000"/>
          <w:kern w:val="0"/>
          <w:sz w:val="30"/>
          <w:szCs w:val="30"/>
          <w:highlight w:val="none"/>
          <w:lang w:eastAsia="zh-CN"/>
        </w:rPr>
        <w:t/>
        <w:t>2023</w:t>
      </w:r>
      <w:r>
        <w:rPr>
          <w:rFonts w:hint="eastAsia" w:ascii="Times New Roman" w:hAnsi="Times New Roman" w:eastAsia="仿宋_GB2312" w:cs="仿宋_GB2312"/>
          <w:color w:val="000000"/>
          <w:kern w:val="0"/>
          <w:sz w:val="30"/>
          <w:szCs w:val="30"/>
          <w:highlight w:val="none"/>
        </w:rPr>
        <w:t/>
        <w:t>年</w:t>
      </w:r>
      <w:r>
        <w:rPr>
          <w:rFonts w:hint="eastAsia" w:ascii="Times New Roman" w:hAnsi="Times New Roman" w:eastAsia="仿宋_GB2312" w:cs="仿宋_GB2312"/>
          <w:sz w:val="30"/>
          <w:szCs w:val="30"/>
          <w:highlight w:val="none"/>
        </w:rPr>
        <w:t/>
        <w:t>政府</w:t>
      </w:r>
      <w:r>
        <w:rPr>
          <w:rFonts w:hint="eastAsia" w:ascii="Times New Roman" w:hAnsi="Times New Roman" w:eastAsia="仿宋_GB2312" w:cs="仿宋_GB2312"/>
          <w:color w:val="000000"/>
          <w:kern w:val="0"/>
          <w:sz w:val="30"/>
          <w:szCs w:val="30"/>
          <w:highlight w:val="none"/>
        </w:rPr>
        <w:t/>
        <w:t>采购支出总额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元，其中：政府采购货物支出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元、政府采购工程支出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元、政府采购服务支出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元。授予中小企业合同金额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元，占政府采购支出总额的</w:t>
      </w:r>
      <w:r>
        <w:rPr>
          <w:rFonts w:hint="eastAsia" w:ascii="Times New Roman" w:hAnsi="Times New Roman" w:eastAsia="仿宋_GB2312" w:cs="Times New Roman"/>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color w:val="000000"/>
          <w:kern w:val="0"/>
          <w:sz w:val="30"/>
          <w:szCs w:val="30"/>
          <w:highlight w:val="none"/>
        </w:rPr>
        <w:t/>
        <w:t>，其中：授予小微企业合同金额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元，占政府采购支出总额的</w:t>
      </w:r>
      <w:r>
        <w:rPr>
          <w:rFonts w:hint="eastAsia" w:ascii="Times New Roman" w:hAnsi="Times New Roman" w:eastAsia="仿宋_GB2312" w:cs="Times New Roman"/>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color w:val="000000"/>
          <w:kern w:val="0"/>
          <w:sz w:val="30"/>
          <w:szCs w:val="30"/>
          <w:highlight w:val="none"/>
        </w:rPr>
        <w:t/>
        <w:t>；</w:t>
      </w:r>
      <w:r>
        <w:rPr>
          <w:rFonts w:hint="eastAsia" w:ascii="Times New Roman" w:hAnsi="Times New Roman" w:eastAsia="仿宋_GB2312" w:cs="仿宋_GB2312"/>
          <w:kern w:val="0"/>
          <w:sz w:val="30"/>
          <w:szCs w:val="30"/>
          <w:highlight w:val="none"/>
        </w:rPr>
        <w:t/>
        <w:t>货物采购授予中小企业合同金额占货物支出金额的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，工程采购授予中小企业合同金额占工程支出金额的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，服务采购授予中小企业合同金额占服务支出金额的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w:t>
      </w:r>
    </w:p>
    <w:p>
      <w:pPr>
        <w:autoSpaceDE w:val="0"/>
        <w:autoSpaceDN w:val="0"/>
        <w:adjustRightInd w:val="0"/>
        <w:spacing w:line="600" w:lineRule="exact"/>
        <w:ind w:firstLine="600"/>
        <w:jc w:val="left"/>
        <w:rPr>
          <w:rFonts w:ascii="Times New Roman" w:hAnsi="Times New Roman" w:eastAsia="楷体" w:cs="Times New Roman"/>
          <w:kern w:val="0"/>
          <w:sz w:val="30"/>
          <w:szCs w:val="30"/>
          <w:highlight w:val="none"/>
        </w:rPr>
      </w:pPr>
      <w:r>
        <w:rPr>
          <w:rFonts w:hint="eastAsia" w:ascii="Times New Roman" w:hAnsi="Times New Roman" w:eastAsia="仿宋_GB2312" w:cs="仿宋_GB2312"/>
          <w:sz w:val="30"/>
          <w:szCs w:val="30"/>
          <w:highlight w:val="none"/>
          <w:lang w:eastAsia="zh-CN"/>
        </w:rPr>
        <w:t/>
        <w:t>天津市长芦盐业总公司2023年度无政府采购支出。</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十二、</w:t>
      </w:r>
      <w:r>
        <w:rPr>
          <w:rFonts w:hint="eastAsia" w:ascii="Times New Roman" w:hAnsi="Times New Roman" w:eastAsia="黑体" w:cs="黑体"/>
          <w:b/>
          <w:bCs/>
          <w:kern w:val="0"/>
          <w:sz w:val="30"/>
          <w:szCs w:val="30"/>
          <w:highlight w:val="none"/>
        </w:rPr>
        <w:t/>
        <w:t>国有资产占有使用情况说明</w:t>
      </w:r>
    </w:p>
    <w:p>
      <w:pPr>
        <w:autoSpaceDE w:val="0"/>
        <w:autoSpaceDN w:val="0"/>
        <w:adjustRightInd w:val="0"/>
        <w:spacing w:line="600" w:lineRule="exact"/>
        <w:ind w:firstLine="720"/>
        <w:jc w:val="left"/>
        <w:rPr>
          <w:rFonts w:ascii="Times New Roman" w:hAnsi="Times New Roman" w:eastAsia="仿宋_GB2312" w:cs="Times New Roman"/>
          <w:color w:val="000000"/>
          <w:kern w:val="0"/>
          <w:sz w:val="30"/>
          <w:szCs w:val="30"/>
          <w:highlight w:val="none"/>
        </w:rPr>
      </w:pPr>
      <w:r>
        <w:rPr>
          <w:rFonts w:hint="eastAsia" w:ascii="Times New Roman" w:hAnsi="Times New Roman" w:eastAsia="仿宋_GB2312" w:cs="仿宋_GB2312"/>
          <w:color w:val="000000"/>
          <w:kern w:val="0"/>
          <w:sz w:val="30"/>
          <w:szCs w:val="30"/>
          <w:highlight w:val="none"/>
        </w:rPr>
        <w:t/>
        <w:t>截至</w:t>
      </w:r>
      <w:r>
        <w:rPr>
          <w:rFonts w:ascii="Times New Roman" w:hAnsi="Times New Roman" w:eastAsia="宋体" w:cs="宋体"/>
          <w:color w:val="000000"/>
          <w:kern w:val="0"/>
          <w:sz w:val="30"/>
          <w:szCs w:val="30"/>
          <w:highlight w:val="none"/>
        </w:rPr>
        <w:t/>
        <w:t>202</w:t>
      </w:r>
      <w:r>
        <w:rPr>
          <w:rFonts w:hint="eastAsia" w:ascii="Times New Roman" w:hAnsi="Times New Roman" w:eastAsia="宋体" w:cs="宋体"/>
          <w:color w:val="000000"/>
          <w:kern w:val="0"/>
          <w:sz w:val="30"/>
          <w:szCs w:val="30"/>
          <w:highlight w:val="none"/>
          <w:lang w:val="en-US" w:eastAsia="zh-CN"/>
        </w:rPr>
        <w:t/>
        <w:t>3</w:t>
      </w:r>
      <w:r>
        <w:rPr>
          <w:rFonts w:hint="eastAsia" w:ascii="Times New Roman" w:hAnsi="Times New Roman" w:eastAsia="仿宋_GB2312" w:cs="仿宋_GB2312"/>
          <w:color w:val="000000"/>
          <w:kern w:val="0"/>
          <w:sz w:val="30"/>
          <w:szCs w:val="30"/>
          <w:highlight w:val="none"/>
        </w:rPr>
        <w:t/>
        <w:t>年</w:t>
      </w:r>
      <w:r>
        <w:rPr>
          <w:rFonts w:ascii="Times New Roman" w:hAnsi="Times New Roman" w:eastAsia="仿宋_GB2312" w:cs="Times New Roman"/>
          <w:color w:val="000000"/>
          <w:kern w:val="0"/>
          <w:sz w:val="30"/>
          <w:szCs w:val="30"/>
          <w:highlight w:val="none"/>
        </w:rPr>
        <w:t/>
        <w:t>12</w:t>
      </w:r>
      <w:r>
        <w:rPr>
          <w:rFonts w:hint="eastAsia" w:ascii="Times New Roman" w:hAnsi="Times New Roman" w:eastAsia="仿宋_GB2312" w:cs="仿宋_GB2312"/>
          <w:color w:val="000000"/>
          <w:kern w:val="0"/>
          <w:sz w:val="30"/>
          <w:szCs w:val="30"/>
          <w:highlight w:val="none"/>
        </w:rPr>
        <w:t/>
        <w:t>月</w:t>
      </w:r>
      <w:r>
        <w:rPr>
          <w:rFonts w:ascii="Times New Roman" w:hAnsi="Times New Roman" w:eastAsia="仿宋_GB2312" w:cs="Times New Roman"/>
          <w:color w:val="000000"/>
          <w:kern w:val="0"/>
          <w:sz w:val="30"/>
          <w:szCs w:val="30"/>
          <w:highlight w:val="none"/>
        </w:rPr>
        <w:t/>
        <w:t>31</w:t>
      </w:r>
      <w:r>
        <w:rPr>
          <w:rFonts w:hint="eastAsia" w:ascii="Times New Roman" w:hAnsi="Times New Roman" w:eastAsia="仿宋_GB2312" w:cs="仿宋_GB2312"/>
          <w:color w:val="000000"/>
          <w:kern w:val="0"/>
          <w:sz w:val="30"/>
          <w:szCs w:val="30"/>
          <w:highlight w:val="none"/>
        </w:rPr>
        <w:t/>
        <w:t>日，</w:t>
      </w:r>
      <w:r>
        <w:rPr>
          <w:rFonts w:hint="eastAsia" w:ascii="Times New Roman" w:hAnsi="Times New Roman" w:eastAsia="仿宋_GB2312" w:cs="仿宋_GB2312"/>
          <w:color w:val="000000"/>
          <w:kern w:val="0"/>
          <w:sz w:val="30"/>
          <w:szCs w:val="30"/>
          <w:highlight w:val="none"/>
          <w:lang w:eastAsia="zh-CN"/>
        </w:rPr>
        <w:t/>
        <w:t>天津市长芦盐业总公司</w:t>
      </w:r>
      <w:r>
        <w:rPr>
          <w:rFonts w:hint="eastAsia" w:ascii="Times New Roman" w:hAnsi="Times New Roman" w:eastAsia="仿宋_GB2312" w:cs="仿宋_GB2312"/>
          <w:color w:val="000000"/>
          <w:kern w:val="0"/>
          <w:sz w:val="30"/>
          <w:szCs w:val="30"/>
          <w:highlight w:val="none"/>
        </w:rPr>
        <w:t/>
        <w:t>共有车辆</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color w:val="000000"/>
          <w:kern w:val="0"/>
          <w:sz w:val="30"/>
          <w:szCs w:val="30"/>
          <w:highlight w:val="none"/>
        </w:rPr>
        <w:t/>
        <w:t>辆，其中：</w:t>
      </w:r>
      <w:r>
        <w:rPr>
          <w:rFonts w:ascii="Times New Roman" w:hAnsi="Times New Roman" w:eastAsia="仿宋_GB2312" w:cs="Times New Roman"/>
          <w:kern w:val="0"/>
          <w:sz w:val="30"/>
          <w:szCs w:val="30"/>
          <w:highlight w:val="none"/>
        </w:rPr>
        <w:t/>
        <w:t>副部（省）级及以上领导用车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主要</w:t>
      </w:r>
      <w:r>
        <w:rPr>
          <w:rFonts w:hint="eastAsia" w:ascii="Times New Roman" w:hAnsi="Times New Roman" w:eastAsia="仿宋_GB2312" w:cs="Times New Roman"/>
          <w:kern w:val="0"/>
          <w:sz w:val="30"/>
          <w:szCs w:val="30"/>
          <w:highlight w:val="none"/>
          <w:lang w:val="en-US" w:eastAsia="zh-CN"/>
        </w:rPr>
        <w:t/>
        <w:t>负责人</w:t>
      </w:r>
      <w:r>
        <w:rPr>
          <w:rFonts w:ascii="Times New Roman" w:hAnsi="Times New Roman" w:eastAsia="仿宋_GB2312" w:cs="Times New Roman"/>
          <w:kern w:val="0"/>
          <w:sz w:val="30"/>
          <w:szCs w:val="30"/>
          <w:highlight w:val="none"/>
        </w:rPr>
        <w:t/>
        <w:t>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机要通信用车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应急保障用车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执法执勤用车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特种专业技术用车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离退休干部</w:t>
      </w:r>
      <w:r>
        <w:rPr>
          <w:rFonts w:hint="eastAsia" w:ascii="Times New Roman" w:hAnsi="Times New Roman" w:eastAsia="仿宋_GB2312" w:cs="Times New Roman"/>
          <w:kern w:val="0"/>
          <w:sz w:val="30"/>
          <w:szCs w:val="30"/>
          <w:highlight w:val="none"/>
          <w:lang w:val="en-US" w:eastAsia="zh-CN"/>
        </w:rPr>
        <w:t/>
        <w:t>服务</w:t>
      </w:r>
      <w:r>
        <w:rPr>
          <w:rFonts w:ascii="Times New Roman" w:hAnsi="Times New Roman" w:eastAsia="仿宋_GB2312" w:cs="Times New Roman"/>
          <w:kern w:val="0"/>
          <w:sz w:val="30"/>
          <w:szCs w:val="30"/>
          <w:highlight w:val="none"/>
        </w:rPr>
        <w:t/>
        <w:t>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其他用车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hint="eastAsia" w:ascii="Times New Roman" w:hAnsi="Times New Roman" w:eastAsia="仿宋_GB2312" w:cs="Times New Roman"/>
          <w:kern w:val="0"/>
          <w:sz w:val="30"/>
          <w:szCs w:val="30"/>
          <w:highlight w:val="none"/>
        </w:rPr>
        <w:t/>
        <w:t>，其他用车主要包括</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lang w:val="zh-CN"/>
        </w:rPr>
        <w:t/>
        <w:t>。</w:t>
      </w:r>
      <w:r>
        <w:rPr>
          <w:rFonts w:hint="eastAsia" w:ascii="Times New Roman" w:hAnsi="Times New Roman" w:eastAsia="仿宋_GB2312" w:cs="仿宋_GB2312"/>
          <w:kern w:val="0"/>
          <w:sz w:val="30"/>
          <w:szCs w:val="30"/>
          <w:highlight w:val="none"/>
        </w:rPr>
        <w:t/>
        <w:t>单价</w:t>
      </w:r>
      <w:r>
        <w:rPr>
          <w:rFonts w:ascii="Times New Roman" w:hAnsi="Times New Roman" w:eastAsia="仿宋_GB2312" w:cs="仿宋_GB2312"/>
          <w:kern w:val="0"/>
          <w:sz w:val="30"/>
          <w:szCs w:val="30"/>
          <w:highlight w:val="none"/>
        </w:rPr>
        <w:t/>
        <w:t>100</w:t>
      </w:r>
      <w:r>
        <w:rPr>
          <w:rFonts w:hint="eastAsia" w:ascii="Times New Roman" w:hAnsi="Times New Roman" w:eastAsia="仿宋_GB2312" w:cs="仿宋_GB2312"/>
          <w:kern w:val="0"/>
          <w:sz w:val="30"/>
          <w:szCs w:val="30"/>
          <w:highlight w:val="none"/>
        </w:rPr>
        <w:t/>
        <w:t>万元以上的设备</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台（套）。</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天津市长芦盐业总公司2023年度无国有资产占用使用情况。</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十三、</w:t>
      </w:r>
      <w:r>
        <w:rPr>
          <w:rFonts w:hint="eastAsia" w:ascii="Times New Roman" w:hAnsi="Times New Roman" w:eastAsia="黑体" w:cs="黑体"/>
          <w:b/>
          <w:bCs/>
          <w:kern w:val="0"/>
          <w:sz w:val="30"/>
          <w:szCs w:val="30"/>
          <w:highlight w:val="none"/>
        </w:rPr>
        <w:t/>
        <w:t>预算绩效情况说明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根据预算绩效管理要求，天津市长芦盐业总公司2023年度已对1个市级项目开展绩效自评，涉及金额707063.6元，自评结果已随部门决算一并公开。</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十四、</w:t>
      </w:r>
      <w:r>
        <w:rPr>
          <w:rFonts w:hint="eastAsia" w:ascii="Times New Roman" w:hAnsi="Times New Roman" w:eastAsia="黑体" w:cs="黑体"/>
          <w:b/>
          <w:bCs/>
          <w:kern w:val="0"/>
          <w:sz w:val="30"/>
          <w:szCs w:val="30"/>
          <w:highlight w:val="none"/>
        </w:rPr>
        <w:t/>
        <w:t>教育、医疗卫生、社会保障和就业、住房保障、涉农补贴等民生支出情况说明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天津市长芦盐业总公司不属于乡、镇、街级单位，不涉及公开2023年度教育、医疗卫生、社会保障和就业、住房保障、涉农补贴等民生支出情况。</w:t>
      </w:r>
    </w:p>
    <w:p>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第四部分名词解释</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
        <w:t>1</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w:t>
      </w:r>
      <w:r>
        <w:rPr>
          <w:rFonts w:hint="eastAsia" w:ascii="Times New Roman" w:hAnsi="Times New Roman" w:eastAsia="仿宋_GB2312" w:cs="仿宋_GB2312"/>
          <w:kern w:val="0"/>
          <w:sz w:val="30"/>
          <w:szCs w:val="30"/>
          <w:highlight w:val="none"/>
        </w:rPr>
        <w:t/>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
        <w:t>3.“</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yYTYxNzQwYTk1MDM4YTdjNWU4MGNkZGU0MzE1ZTM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autoRedefine/>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autoRedefine/>
    <w:qFormat/>
    <w:uiPriority w:val="99"/>
    <w:rPr>
      <w:rFonts w:ascii="方正小标宋简体" w:eastAsia="方正小标宋简体"/>
      <w:kern w:val="0"/>
      <w:sz w:val="24"/>
      <w:szCs w:val="24"/>
    </w:rPr>
  </w:style>
  <w:style w:type="character" w:customStyle="1" w:styleId="10">
    <w:name w:val="标题 2 字符"/>
    <w:basedOn w:val="8"/>
    <w:link w:val="3"/>
    <w:autoRedefine/>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autoRedefine/>
    <w:qFormat/>
    <w:uiPriority w:val="99"/>
    <w:rPr>
      <w:sz w:val="18"/>
      <w:szCs w:val="18"/>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3220</Words>
  <Characters>5638</Characters>
  <Lines>82</Lines>
  <Paragraphs>23</Paragraphs>
  <TotalTime>0</TotalTime>
  <ScaleCrop>false</ScaleCrop>
  <LinksUpToDate>false</LinksUpToDate>
  <CharactersWithSpaces>5662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2023-08-11T08:11:00Z</dcterms:created>
  <dc:creator>office</dc:creator>
  <cp:lastModifiedBy>hp</cp:lastModifiedBy>
  <dcterms:modified xsi:type="dcterms:W3CDTF">2024-08-06T07:37:09Z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A44E0A178634409BBBA50D5636087390_13</vt:lpwstr>
  </property>
</Properties>
</file>