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天津市化学工业学校</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天津市化学工业学校是中等职业学校</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仿宋_GB2312" w:cs="仿宋_GB2312"/>
          <w:sz w:val="30"/>
          <w:szCs w:val="30"/>
          <w:highlight w:val="none"/>
          <w:lang w:eastAsia="zh-CN"/>
        </w:rPr>
        <w:t/>
        <w:t>内设10</w:t>
      </w:r>
      <w:r>
        <w:rPr>
          <w:rFonts w:hint="eastAsia" w:ascii="Times New Roman" w:hAnsi="Times New Roman" w:eastAsia="仿宋_GB2312" w:cs="仿宋_GB2312"/>
          <w:sz w:val="30"/>
          <w:szCs w:val="30"/>
          <w:highlight w:val="none"/>
          <w:lang w:eastAsia="zh-CN"/>
        </w:rPr>
        <w:t/>
        <w:t>个分别是校长室、党委单位办公室、人事科、财务室、教务科、学生科、团委、招生办公室、总务科、保卫科。</w:t>
      </w:r>
      <w:r>
        <w:rPr>
          <w:rFonts w:hint="eastAsia" w:ascii="Times New Roman" w:hAnsi="Times New Roman" w:eastAsia="仿宋_GB2312" w:cs="仿宋_GB2312"/>
          <w:sz w:val="30"/>
          <w:szCs w:val="30"/>
          <w:highlight w:val="none"/>
          <w:lang w:eastAsia="zh-CN"/>
        </w:rPr>
        <w:t/>
        <w:t>；下辖1</w:t>
      </w:r>
      <w:r>
        <w:rPr>
          <w:rFonts w:hint="eastAsia" w:ascii="Times New Roman" w:hAnsi="Times New Roman" w:eastAsia="仿宋_GB2312" w:cs="仿宋_GB2312"/>
          <w:sz w:val="30"/>
          <w:szCs w:val="30"/>
          <w:highlight w:val="none"/>
          <w:lang w:eastAsia="zh-CN"/>
        </w:rPr>
        <w:t/>
        <w:t>个预算单位。纳入天津市化学工业学校</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天津市化学工业学校</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 xml:space="preserve"> 4.若“政府性基金预算财政拨款收入支出决算表”为空表的部门或单位，作下述说明：“天津市化学工业学校2023年度政府性基金预算财政拨款收入支出决算表为空表”。</w:t>
        <w:br/>
        <w:t xml:space="preserve"> 5.若“国有资本经营预算财政拨款收入支出决算表”为空表的部门或单位，做下述说明：“天津市化学工业学校2023年度国有资本经营预算财政拨款收入支出决算表为空表”。</w:t>
        <w:br/>
        <w:t xml:space="preserve"> 6.若“财政拨款“三公”经费支出决算表”为空表的部门或单位，作下述说明：“天津市化学工业学校2023年度财政拨款“三公”经费支出决算表为空表”。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天津市化学工业学校</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65,614,639.26</w:t>
      </w:r>
      <w:r>
        <w:rPr>
          <w:rFonts w:hint="eastAsia" w:ascii="Times New Roman" w:hAnsi="Times New Roman" w:eastAsia="仿宋_GB2312" w:cs="仿宋_GB2312"/>
          <w:sz w:val="30"/>
          <w:szCs w:val="30"/>
          <w:highlight w:val="none"/>
          <w:lang w:eastAsia="zh-CN"/>
        </w:rPr>
        <w:t/>
        <w:t>元，与2022年度相比，收、支总计各增加12,263,738.56</w:t>
      </w:r>
      <w:r>
        <w:rPr>
          <w:rFonts w:hint="eastAsia" w:ascii="Times New Roman" w:hAnsi="Times New Roman" w:eastAsia="仿宋_GB2312" w:cs="仿宋_GB2312"/>
          <w:sz w:val="30"/>
          <w:szCs w:val="30"/>
          <w:highlight w:val="none"/>
          <w:lang w:eastAsia="zh-CN"/>
        </w:rPr>
        <w:t/>
        <w:t>元，增长22.99</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：人员支出的增加和学校建设公用支出增加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48,811,384.49</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1,932,312.00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财政经费的减少</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46,211,137.61</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94.67</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2,474,150.00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5.07</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126,096.88</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0.26</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49,751,307.83</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169,247.19</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学校建设中 固定资产支出 减少</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43,622,999.11</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87.68</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6,128,308.72</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占12.32</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47,585,068.72</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3,167,940.24</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6.24</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财政经费的减少</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计47,585,068.72</w:t>
      </w:r>
      <w:r>
        <w:rPr>
          <w:rFonts w:hint="eastAsia" w:ascii="Times New Roman" w:hAnsi="Times New Roman" w:eastAsia="仿宋_GB2312" w:cs="仿宋_GB2312"/>
          <w:sz w:val="30"/>
          <w:szCs w:val="30"/>
          <w:highlight w:val="none"/>
          <w:lang w:eastAsia="zh-CN"/>
        </w:rPr>
        <w:t/>
        <w:t>元，占本年支出合计的95.65</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1,794,009.13</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3.63</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：财政经费的减少</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47,585,068.72</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教育支出44,680,128.72元，占93.89%；社会保障和就业支出2526000元，占5.31%；卫生健康支出378940元，占0.8%；</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46,358,400.00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47,585,068.72</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102.65</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 208（类）05（款）05（项）年初预算为1,684,000.00元，支出决算为1,684,000.00元，完成年初预算的100%，决算数等于年初预算数。</w:t>
        <w:br/>
        <w:t>2. 208（类）05（款）06（项）年初预算为842,000.00元，支出决算为842,000.00元，完成年初预算的100%，决算数等于年初预算数。</w:t>
        <w:br/>
        <w:t>3. 210（类）11（款）99（项）年初预算为379,000.00元，支出决算为378,940.00元，完成年初预算的99.98%，决算数小于年初预算数的主要原因是未使用。</w:t>
        <w:br/>
        <w:t>4.205（类）03（款）02（项）年初基本预算为38,578,000元，支出决算为38,551,820元，完成年初预算的99.93%，决算数等于年初预算数。</w:t>
        <w:br/>
        <w:t>5. 205（类）03（款）02（项）年初项目预算为3,888,400.00元，支出决算为5,714,500.00元，完成年初预算的146.96%，决算数大于年初预算数的主要原因是经费的追加。</w:t>
        <w:br/>
        <w:t>6. 205（类）03（款）03（项）年初预算为987,000.00元，支出决算为413,777.61元，完成年初预算的41.92%，决算数小于年初预算数的主要原因是未使用。</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41,456,760.00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2,234,140.00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财政经费的减少</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30,404,940.00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人员经费30,404,940.00元，主要包括基本工资、津贴补贴、绩效工资、机关事业单位基本养老保险缴费、职业年金缴费、职工基本医疗保险缴费、其他社会保障缴费、住房公积金、医疗费、退休费、抚恤金、生活补助、医疗费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11,051,820.00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公用经费11,051,820.00元，主要包括办公费、水费、电费、邮电费、取暖费、物业管理费、差旅费、维修(护)费、培训费、专用材料费、劳务费、工会经费、福利费、其他交通费用、其他商品和服务支出、专用设备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天津市化学工业学校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t>天津市天津市化学工业学校2023年度无政府性基金预算财政拨款收入、支出和结转结余。</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天津市天津市化学工业学校2023年度无政府性基金预算财政拨款收入、支出和结转结余。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天津市化学工业学校</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t>天津市天津市化学工业学校2023年度无国有资本经营预算财政拨款收入、支出和结转结余。</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天津市天津市化学工业学校2023年度无国有资本经营预算财政拨款收入、支出和结转结余。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决算数与预算数相同</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决算数与预算数相同</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决算数与预算数相同</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决算数与预算数相同</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决算数与预算数相同</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决算数与预算数相同</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天津市化学工业学校</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t>天津市天津市化学工业学校202３年度无机关运行经费。</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天津市天津市化学工业学校202３年度无机关运行经费。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天津市化学工业学校</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天津市化学工业学校2023年度无政府采购支出。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天津市化学工业学校</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2</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2</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t>截至202３年12月31日，天津市化学工业学校共有车辆2辆，其中：其他用车2辆，其他用车主要包括小轿车2辆，单价100万元以上的设备0台（套）</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截至202３年12月31日，天津市化学工业学校共有车辆2辆，其中：其他用车2辆，其他用车主要包括小轿车2辆，单价100万元以上的设备0台（套）</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根据预算绩效管理要求，天津市化学工业学校2023年度已对9个市级项目开展绩效自评，涉及金额360775元，自评结果已随部门决算一并公开。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天津市天津市化学工业学校不属于乡、镇、街级单位，不涉及公开202３年度教育、医疗卫生、社会保障和就业、住房保障、涉农补贴等民生支出情况。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天津市天津市化学工业学校不属于乡、镇、街级单位，不涉及公开202３年度教育、医疗卫生、社会保障和就业、住房保障、涉农补贴等民生支出情况。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