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天津渤海化工有限责任公司（本级）</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天津渤海化工有限责任公司（本级）主要职责是负责转制前人员工资发放。</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天津渤海化工有限责任公司（本级）</w:t>
      </w:r>
      <w:r>
        <w:rPr>
          <w:rFonts w:hint="eastAsia" w:ascii="Times New Roman" w:hAnsi="Times New Roman" w:eastAsia="仿宋_GB2312" w:cs="仿宋_GB2312"/>
          <w:sz w:val="30"/>
          <w:szCs w:val="30"/>
          <w:highlight w:val="none"/>
          <w:lang w:eastAsia="zh-CN"/>
        </w:rPr>
        <w:t/>
        <w:t>内设0</w:t>
      </w:r>
      <w:r>
        <w:rPr>
          <w:rFonts w:hint="eastAsia" w:ascii="Times New Roman" w:hAnsi="Times New Roman" w:eastAsia="仿宋_GB2312" w:cs="仿宋_GB2312"/>
          <w:sz w:val="30"/>
          <w:szCs w:val="30"/>
          <w:highlight w:val="none"/>
          <w:lang w:eastAsia="zh-CN"/>
        </w:rPr>
        <w:t/>
        <w:t>个职能处室</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个预算单位。纳入天津渤海化工有限责任公司（本级）</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天津渤海化工有限责任公司（本级）</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1、天津渤海化工有限责任公司（本级）2023年度政府性基金预算财政拨款收入支出决算表为空表。 2、天津渤海化工有限责任公司（本级）2023年度国有资本经营预算财政拨款收入支出决算表为空表。 3、天津渤海化工有限责任公司（本级）2023年度财政拨款“三公”经费支出决算表为空表。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天津渤海化工有限责任公司（本级）</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7,856,323.20</w:t>
      </w:r>
      <w:r>
        <w:rPr>
          <w:rFonts w:hint="eastAsia" w:ascii="Times New Roman" w:hAnsi="Times New Roman" w:eastAsia="仿宋_GB2312" w:cs="仿宋_GB2312"/>
          <w:sz w:val="30"/>
          <w:szCs w:val="30"/>
          <w:highlight w:val="none"/>
          <w:lang w:eastAsia="zh-CN"/>
        </w:rPr>
        <w:t/>
        <w:t>元，与2022年度相比，收、支总计各减少1,656,976.80</w:t>
      </w:r>
      <w:r>
        <w:rPr>
          <w:rFonts w:hint="eastAsia" w:ascii="Times New Roman" w:hAnsi="Times New Roman" w:eastAsia="仿宋_GB2312" w:cs="仿宋_GB2312"/>
          <w:sz w:val="30"/>
          <w:szCs w:val="30"/>
          <w:highlight w:val="none"/>
          <w:lang w:eastAsia="zh-CN"/>
        </w:rPr>
        <w:t/>
        <w:t>元，下降17.42</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：离退休人员去世</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天津渤海化工有限责任公司（本级）</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7,856,323.20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减少</w:t>
      </w:r>
      <w:r>
        <w:rPr>
          <w:rFonts w:hint="eastAsia" w:ascii="Times New Roman" w:hAnsi="Times New Roman" w:eastAsia="仿宋_GB2312" w:cs="仿宋_GB2312"/>
          <w:sz w:val="30"/>
          <w:szCs w:val="30"/>
          <w:highlight w:val="none"/>
          <w:lang w:eastAsia="zh-CN"/>
        </w:rPr>
        <w:t/>
        <w:t>1,656,976.80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离退休人员去世</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7,856,323.20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100.0</w:t>
      </w:r>
      <w:r>
        <w:rPr>
          <w:rFonts w:hint="eastAsia" w:ascii="Times New Roman" w:hAnsi="Times New Roman" w:eastAsia="宋体" w:cs="Times New Roman"/>
          <w:sz w:val="30"/>
          <w:szCs w:val="30"/>
          <w:highlight w:val="none"/>
          <w:lang w:eastAsia="zh-CN"/>
        </w:rPr>
        <w:t/>
        <w:t>%；</w:t>
      </w:r>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天津渤海化工有限责任公司（本级）</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7,856,323.20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1,656,976.80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离退休人员去世</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6,024,700.00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76.69</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1,831,623.20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占23.31</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天津渤海化工有限责任公司（本级）</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7,856,323.20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1,656,976.80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17.42</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离退休人员去世</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天津渤海化工有限责任公司（本级）</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计7,856,323.20</w:t>
      </w:r>
      <w:r>
        <w:rPr>
          <w:rFonts w:hint="eastAsia" w:ascii="Times New Roman" w:hAnsi="Times New Roman" w:eastAsia="仿宋_GB2312" w:cs="仿宋_GB2312"/>
          <w:sz w:val="30"/>
          <w:szCs w:val="30"/>
          <w:highlight w:val="none"/>
          <w:lang w:eastAsia="zh-CN"/>
        </w:rPr>
        <w:t/>
        <w:t>元，占本年支出合计的100.0</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1,656,976.80</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下降</w:t>
      </w:r>
      <w:r>
        <w:rPr>
          <w:rFonts w:hint="eastAsia" w:ascii="Times New Roman" w:hAnsi="Times New Roman" w:eastAsia="仿宋_GB2312" w:cs="仿宋_GB2312"/>
          <w:sz w:val="30"/>
          <w:szCs w:val="30"/>
          <w:highlight w:val="none"/>
          <w:lang w:eastAsia="zh-CN"/>
        </w:rPr>
        <w:t/>
        <w:t>17.42</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：离退休人员去世</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7,856,323.20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社会保障和就业支出（类）支出3221623.2元，占41.01%，卫生健康支出（类）支出4634700元，占58.99%</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1,470,000.00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7,856,323.20</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534.44</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1.社会保障和就业支出（类）行政事业单位养老支出（款）行政单位离退休（项）年初预算为1390000元，支出决算为3221623.2元，完成年初预算的231.77%，决算数大于年初预算数的主要原因是 。2.卫生健康支出（类）行政事业单位医疗（款）行政单位医疗（项）年初预算为20000元，支出决算为20000元，完成年度预算的100%。</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天津渤海化工有限责任公司（本级）</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6,024,700.00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减少</w:t>
      </w:r>
      <w:r>
        <w:rPr>
          <w:rFonts w:hint="eastAsia" w:ascii="Times New Roman" w:hAnsi="Times New Roman" w:eastAsia="仿宋_GB2312" w:cs="仿宋_GB2312"/>
          <w:sz w:val="30"/>
          <w:szCs w:val="30"/>
          <w:highlight w:val="none"/>
          <w:lang w:eastAsia="zh-CN"/>
        </w:rPr>
        <w:t/>
        <w:t>3,488,600.00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离退休人员去世</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5,998,838.25</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离休费、退休费、抚恤金、医疗费补助。</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25,861.75</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其他商品和服务支出。</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天津渤海化工有限责任公司（本级）</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天津渤海化工有限责任公司（本级）2023年度无政府性基金预算财政拨款收入、支出和结转结余。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bookmarkStart w:id="0" w:name="_GoBack"/>
      <w:bookmarkEnd w:id="0"/>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天津渤海化工有限责任公司（本级）</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天津渤海化工有限责任公司（本级）2023年度无国有资本经营预算财政拨款收入、支出和结转结余。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天津渤海化工有限责任公司（本级）</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天津渤海化工有限责任公司（本级）2023年度无机关运行经费。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天津渤海化工有限责任公司（本级）</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t>天津渤海化工有限责任公司（本级）2023年度无政府采购支出。</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天津渤海化工有限责任公司（本级）</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天津渤海化工有限责任公司（本级）2023年度无无国有资产占用使用情况。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根据预算绩效管理要求，天津渤海化工有限责任公司（本级）2023年度已对1个市级项目开展绩效自评，涉及金额1831623.2元，自评结果已随部门决算一并公开。</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天津渤海化工有限责任公司（本级）不属于乡、镇、街级单位，不涉及公开2023年度教育、医疗卫生、社会保障和就业、住房保障、涉农补贴等民生支出情况。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3220</Words>
  <Characters>5638</Characters>
  <Lines>82</Lines>
  <Paragraphs>23</Paragraphs>
  <TotalTime>0</TotalTime>
  <ScaleCrop>false</ScaleCrop>
  <LinksUpToDate>false</LinksUpToDate>
  <CharactersWithSpaces>5662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hp</cp:lastModifiedBy>
  <dcterms:modified xsi:type="dcterms:W3CDTF">2024-08-06T07:37:09Z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A44E0A178634409BBBA50D5636087390_13</vt:lpwstr>
  </property>
</Properties>
</file>