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天津滨海技工学校</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天津滨海技工学校是经天津市教委批准、国家教育部备案的天津市公办中等职业院校。主要职责为培养中级技术人才，提高社会职业素质。</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天津滨海技工学校</w:t>
      </w:r>
      <w:r>
        <w:rPr>
          <w:rFonts w:hint="eastAsia" w:ascii="Times New Roman" w:hAnsi="Times New Roman" w:eastAsia="仿宋_GB2312" w:cs="仿宋_GB2312"/>
          <w:sz w:val="30"/>
          <w:szCs w:val="30"/>
          <w:highlight w:val="none"/>
          <w:lang w:eastAsia="zh-CN"/>
        </w:rPr>
        <w:t/>
        <w:t>内设4</w:t>
      </w:r>
      <w:r>
        <w:rPr>
          <w:rFonts w:hint="eastAsia" w:ascii="Times New Roman" w:hAnsi="Times New Roman" w:eastAsia="仿宋_GB2312" w:cs="仿宋_GB2312"/>
          <w:sz w:val="30"/>
          <w:szCs w:val="30"/>
          <w:highlight w:val="none"/>
          <w:lang w:eastAsia="zh-CN"/>
        </w:rPr>
        <w:t/>
        <w:t>个职能部门：办公室、总务科、招生办、教务科。</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个预算单位。纳入天津滨海技工学校</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天津滨海技工学校</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1.天津滨海技工学校2023年度财政拨款收入支出决算总表为空表。 2.天津滨海技工学校2023年度一般公共预算财政拨款支出决算表为空表。 3.天津滨海技工学校2023年度一般公共预算财政拨款基本支出决算表为空表。 4.天津滨海技工学校2023年度政府性基金预算财政拨款收入支出决算表为空表。  5.天津滨海技工学校2023年度国有资本经营预算财政拨款收入支出决算表为空表。 6.天津滨海技工学校2023年度财政拨款“三公”经费支出决算表为空表。  7.天津滨海技工学校2023年度项目支出决算表为空表。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天津滨海技工学校</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272,800.00</w:t>
      </w:r>
      <w:r>
        <w:rPr>
          <w:rFonts w:hint="eastAsia" w:ascii="Times New Roman" w:hAnsi="Times New Roman" w:eastAsia="仿宋_GB2312" w:cs="仿宋_GB2312"/>
          <w:sz w:val="30"/>
          <w:szCs w:val="30"/>
          <w:highlight w:val="none"/>
          <w:lang w:eastAsia="zh-CN"/>
        </w:rPr>
        <w:t/>
        <w:t>元，与2022年度相比，收、支总计各减少1,479,545.63</w:t>
      </w:r>
      <w:r>
        <w:rPr>
          <w:rFonts w:hint="eastAsia" w:ascii="Times New Roman" w:hAnsi="Times New Roman" w:eastAsia="仿宋_GB2312" w:cs="仿宋_GB2312"/>
          <w:sz w:val="30"/>
          <w:szCs w:val="30"/>
          <w:highlight w:val="none"/>
          <w:lang w:eastAsia="zh-CN"/>
        </w:rPr>
        <w:t/>
        <w:t>元，下降84.43</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：2023年生源减少。</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天津滨海技工学校</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272,800.00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减少</w:t>
      </w:r>
      <w:r>
        <w:rPr>
          <w:rFonts w:hint="eastAsia" w:ascii="Times New Roman" w:hAnsi="Times New Roman" w:eastAsia="仿宋_GB2312" w:cs="仿宋_GB2312"/>
          <w:sz w:val="30"/>
          <w:szCs w:val="30"/>
          <w:highlight w:val="none"/>
          <w:lang w:eastAsia="zh-CN"/>
        </w:rPr>
        <w:t/>
        <w:t>1,479,545.63</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2023年生源减少。</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272,800.00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100.0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天津滨海技工学校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272,800.00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1,479,545.63</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2023年生源减少。</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272,800.00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100.0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天津滨海技工学校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天津滨海技工学校</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计0.00</w:t>
      </w:r>
      <w:r>
        <w:rPr>
          <w:rFonts w:hint="eastAsia" w:ascii="Times New Roman" w:hAnsi="Times New Roman" w:eastAsia="仿宋_GB2312" w:cs="仿宋_GB2312"/>
          <w:sz w:val="30"/>
          <w:szCs w:val="30"/>
          <w:highlight w:val="none"/>
          <w:lang w:eastAsia="zh-CN"/>
        </w:rPr>
        <w:t/>
        <w:t>元，占本年支出合计的0.0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：无。</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无。</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天津滨海技工学校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无。</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天津滨海技工学校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天津滨海技工学校2023年度无政府性基金预算财政拨款收入、支出和结转结余。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天津滨海技工学校</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天津滨海技工学校2023年度无国有资本经营预算财政拨款收入、支出和结转结余。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天津滨海技工学校</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天津滨海技工学校2023年度无机关运行经费。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天津滨海技工学校</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天津滨海技工学校2023年度无政府采购支出。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天津滨海技工学校</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天津滨海技工学校2023年度无国有资产占用使用情况。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本部门2023年度没有项目支出，无需开展绩效自评。</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天津滨海技工学校不属于乡、镇、街级单位，不涉及公开2023年度教育、医疗卫生、社会保障和就业、住房保障、涉农补贴等民生支出情况。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