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A150A" w14:textId="77777777" w:rsidR="00AE3E76" w:rsidRDefault="00AE3E76">
      <w:pPr>
        <w:spacing w:line="600" w:lineRule="exact"/>
        <w:jc w:val="both"/>
        <w:rPr>
          <w:rFonts w:ascii="黑体" w:eastAsia="黑体" w:hAnsi="黑体" w:hint="eastAsia"/>
          <w:kern w:val="2"/>
          <w:sz w:val="32"/>
          <w:lang w:val="zh-CN"/>
        </w:rPr>
      </w:pPr>
    </w:p>
    <w:p w14:paraId="2C05D156" w14:textId="77777777" w:rsidR="00AE3E76" w:rsidRDefault="00AE3E76">
      <w:pPr>
        <w:spacing w:line="580" w:lineRule="exact"/>
        <w:jc w:val="center"/>
        <w:rPr>
          <w:rFonts w:ascii="黑体" w:eastAsia="黑体" w:hAnsi="黑体" w:hint="eastAsia"/>
          <w:kern w:val="2"/>
          <w:sz w:val="44"/>
          <w:lang w:val="zh-CN"/>
        </w:rPr>
      </w:pPr>
    </w:p>
    <w:p w14:paraId="763CACA0" w14:textId="77777777" w:rsidR="00AE3E76" w:rsidRDefault="00AE3E76">
      <w:pPr>
        <w:spacing w:line="600" w:lineRule="exact"/>
        <w:jc w:val="both"/>
        <w:rPr>
          <w:rFonts w:ascii="黑体" w:eastAsia="黑体" w:hAnsi="黑体" w:hint="eastAsia"/>
          <w:kern w:val="2"/>
          <w:sz w:val="32"/>
          <w:lang w:val="zh-CN"/>
        </w:rPr>
      </w:pPr>
    </w:p>
    <w:p w14:paraId="10B774E8" w14:textId="77777777" w:rsidR="00AE3E76" w:rsidRDefault="00AE3E76">
      <w:pPr>
        <w:spacing w:line="580" w:lineRule="exact"/>
        <w:jc w:val="center"/>
        <w:rPr>
          <w:rFonts w:ascii="黑体" w:eastAsia="黑体" w:hAnsi="黑体" w:hint="eastAsia"/>
          <w:kern w:val="2"/>
          <w:sz w:val="44"/>
          <w:lang w:val="zh-CN"/>
        </w:rPr>
      </w:pPr>
    </w:p>
    <w:p w14:paraId="690CA8A4" w14:textId="77777777" w:rsidR="00AE3E76" w:rsidRDefault="00AE3E76">
      <w:pPr>
        <w:spacing w:line="580" w:lineRule="exact"/>
        <w:jc w:val="center"/>
        <w:rPr>
          <w:rFonts w:eastAsia="Times New Roman"/>
          <w:kern w:val="2"/>
          <w:sz w:val="44"/>
          <w:lang w:val="zh-CN"/>
        </w:rPr>
      </w:pPr>
    </w:p>
    <w:p w14:paraId="25AE9CE8" w14:textId="77777777" w:rsidR="00AE3E76" w:rsidRDefault="00AE3E76">
      <w:pPr>
        <w:spacing w:line="580" w:lineRule="exact"/>
        <w:jc w:val="center"/>
        <w:rPr>
          <w:rFonts w:eastAsia="Times New Roman"/>
          <w:kern w:val="2"/>
          <w:sz w:val="44"/>
          <w:lang w:val="zh-CN"/>
        </w:rPr>
      </w:pPr>
    </w:p>
    <w:p w14:paraId="36C63764" w14:textId="77777777" w:rsidR="00AE3E76" w:rsidRDefault="00AE3E76">
      <w:pPr>
        <w:spacing w:line="580" w:lineRule="exact"/>
        <w:jc w:val="center"/>
        <w:rPr>
          <w:rFonts w:eastAsia="Times New Roman"/>
          <w:kern w:val="2"/>
          <w:sz w:val="44"/>
          <w:lang w:val="zh-CN"/>
        </w:rPr>
      </w:pPr>
    </w:p>
    <w:p w14:paraId="6D47B943" w14:textId="77777777" w:rsidR="00AE3E76" w:rsidRDefault="00AE3E76">
      <w:pPr>
        <w:spacing w:line="580" w:lineRule="exact"/>
        <w:jc w:val="center"/>
        <w:rPr>
          <w:rFonts w:eastAsia="Times New Roman"/>
          <w:kern w:val="2"/>
          <w:sz w:val="44"/>
          <w:lang w:val="zh-CN"/>
        </w:rPr>
      </w:pPr>
    </w:p>
    <w:p w14:paraId="739B398C" w14:textId="77777777" w:rsidR="00AE3E76" w:rsidRDefault="00AE3E76">
      <w:pPr>
        <w:spacing w:line="580" w:lineRule="exact"/>
        <w:jc w:val="center"/>
        <w:rPr>
          <w:rFonts w:eastAsia="Times New Roman"/>
          <w:kern w:val="2"/>
          <w:sz w:val="44"/>
          <w:lang w:val="zh-CN"/>
        </w:rPr>
      </w:pPr>
    </w:p>
    <w:p w14:paraId="24FB9397" w14:textId="77777777" w:rsidR="00AE3E76" w:rsidRDefault="00AE3E76">
      <w:pPr>
        <w:spacing w:line="580" w:lineRule="exact"/>
        <w:jc w:val="center"/>
        <w:rPr>
          <w:rFonts w:eastAsia="Times New Roman"/>
          <w:kern w:val="2"/>
          <w:sz w:val="44"/>
          <w:lang w:val="zh-CN"/>
        </w:rPr>
      </w:pPr>
    </w:p>
    <w:p w14:paraId="6259D8B4" w14:textId="77777777" w:rsidR="00AE3E76" w:rsidRDefault="00AE3E76">
      <w:pPr>
        <w:spacing w:line="580" w:lineRule="exact"/>
        <w:jc w:val="center"/>
        <w:rPr>
          <w:rFonts w:eastAsia="Times New Roman"/>
          <w:kern w:val="2"/>
          <w:sz w:val="44"/>
          <w:lang w:val="zh-CN"/>
        </w:rPr>
      </w:pPr>
    </w:p>
    <w:p w14:paraId="2BDB4ADB" w14:textId="77777777" w:rsidR="00AE3E76" w:rsidRDefault="00AE3E76">
      <w:pPr>
        <w:spacing w:line="580" w:lineRule="exact"/>
        <w:jc w:val="center"/>
        <w:rPr>
          <w:rFonts w:eastAsia="Times New Roman"/>
          <w:kern w:val="2"/>
          <w:sz w:val="44"/>
          <w:lang w:val="zh-CN"/>
        </w:rPr>
      </w:pPr>
    </w:p>
    <w:p w14:paraId="16D388C1" w14:textId="77777777" w:rsidR="00AE3E76" w:rsidRDefault="00AE3E76">
      <w:pPr>
        <w:spacing w:line="580" w:lineRule="exact"/>
        <w:jc w:val="center"/>
        <w:rPr>
          <w:rFonts w:eastAsia="Times New Roman"/>
          <w:kern w:val="2"/>
          <w:sz w:val="44"/>
          <w:lang w:val="zh-CN"/>
        </w:rPr>
      </w:pPr>
    </w:p>
    <w:p w14:paraId="4C321BBF" w14:textId="77777777" w:rsidR="00AE3E76" w:rsidRDefault="00AE3E76">
      <w:pPr>
        <w:jc w:val="center"/>
        <w:rPr>
          <w:rFonts w:ascii="方正小标宋简体" w:eastAsia="方正小标宋简体" w:hAnsi="方正小标宋简体" w:hint="eastAsia"/>
          <w:sz w:val="48"/>
          <w:lang w:val="zh-CN"/>
        </w:rPr>
      </w:pPr>
      <w:r>
        <w:rPr>
          <w:rFonts w:ascii="方正小标宋简体" w:eastAsia="方正小标宋简体" w:hAnsi="方正小标宋简体" w:hint="eastAsia"/>
          <w:sz w:val="48"/>
          <w:lang w:val="zh-CN"/>
        </w:rPr>
        <w:t>天津市化学工业学校</w:t>
      </w:r>
    </w:p>
    <w:p w14:paraId="395F3ABD" w14:textId="77777777" w:rsidR="00AE3E76" w:rsidRDefault="00AE3E76">
      <w:pPr>
        <w:jc w:val="center"/>
        <w:rPr>
          <w:rFonts w:ascii="方正小标宋简体" w:eastAsia="方正小标宋简体" w:hAnsi="方正小标宋简体" w:hint="eastAsia"/>
          <w:sz w:val="48"/>
          <w:lang w:val="zh-CN"/>
        </w:rPr>
      </w:pPr>
      <w:r>
        <w:rPr>
          <w:rFonts w:ascii="方正小标宋简体" w:eastAsia="方正小标宋简体" w:hAnsi="方正小标宋简体" w:hint="eastAsia"/>
          <w:sz w:val="48"/>
          <w:lang w:val="zh-CN"/>
        </w:rPr>
        <w:t>2022年度部门决算</w:t>
      </w:r>
    </w:p>
    <w:p w14:paraId="155D4206" w14:textId="77777777" w:rsidR="00AE3E76" w:rsidRDefault="00AE3E76">
      <w:pPr>
        <w:spacing w:line="580" w:lineRule="exact"/>
        <w:jc w:val="center"/>
        <w:rPr>
          <w:rFonts w:ascii="黑体" w:eastAsia="黑体" w:hAnsi="黑体" w:hint="eastAsia"/>
          <w:kern w:val="2"/>
          <w:sz w:val="30"/>
        </w:rPr>
      </w:pPr>
    </w:p>
    <w:p w14:paraId="35BAA018" w14:textId="77777777" w:rsidR="00AE3E76" w:rsidRDefault="00AE3E76">
      <w:pPr>
        <w:spacing w:line="580" w:lineRule="exact"/>
        <w:jc w:val="center"/>
        <w:rPr>
          <w:rFonts w:ascii="黑体" w:eastAsia="黑体" w:hAnsi="黑体" w:hint="eastAsia"/>
          <w:kern w:val="2"/>
          <w:sz w:val="30"/>
        </w:rPr>
      </w:pPr>
    </w:p>
    <w:p w14:paraId="539C903C" w14:textId="77777777" w:rsidR="00AE3E76" w:rsidRDefault="00AE3E76">
      <w:pPr>
        <w:spacing w:line="580" w:lineRule="exact"/>
        <w:jc w:val="center"/>
        <w:rPr>
          <w:rFonts w:ascii="黑体" w:eastAsia="黑体" w:hAnsi="黑体" w:hint="eastAsia"/>
          <w:kern w:val="2"/>
          <w:sz w:val="30"/>
        </w:rPr>
      </w:pPr>
    </w:p>
    <w:p w14:paraId="38562DA2" w14:textId="77777777" w:rsidR="00AE3E76" w:rsidRDefault="00AE3E76">
      <w:pPr>
        <w:spacing w:line="580" w:lineRule="exact"/>
        <w:jc w:val="center"/>
        <w:rPr>
          <w:rFonts w:ascii="黑体" w:eastAsia="黑体" w:hAnsi="黑体" w:hint="eastAsia"/>
          <w:kern w:val="2"/>
          <w:sz w:val="30"/>
        </w:rPr>
      </w:pPr>
    </w:p>
    <w:p w14:paraId="5D215F8A" w14:textId="77777777" w:rsidR="00AE3E76" w:rsidRDefault="00AE3E76">
      <w:pPr>
        <w:spacing w:line="580" w:lineRule="exact"/>
        <w:jc w:val="center"/>
        <w:rPr>
          <w:rFonts w:ascii="黑体" w:eastAsia="黑体" w:hAnsi="黑体" w:hint="eastAsia"/>
          <w:kern w:val="2"/>
          <w:sz w:val="30"/>
        </w:rPr>
      </w:pPr>
    </w:p>
    <w:p w14:paraId="645B1A1B" w14:textId="77777777" w:rsidR="00AE3E76" w:rsidRDefault="00AE3E76">
      <w:pPr>
        <w:spacing w:line="600" w:lineRule="exact"/>
        <w:jc w:val="center"/>
        <w:rPr>
          <w:rFonts w:ascii="黑体" w:eastAsia="黑体" w:hAnsi="黑体" w:hint="eastAsia"/>
          <w:sz w:val="44"/>
        </w:rPr>
        <w:sectPr w:rsidR="00AE3E76">
          <w:footerReference w:type="default" r:id="rId7"/>
          <w:pgSz w:w="12240" w:h="15840"/>
          <w:pgMar w:top="1440" w:right="1800" w:bottom="1440" w:left="1800" w:header="720" w:footer="720" w:gutter="0"/>
          <w:cols w:space="720"/>
        </w:sectPr>
      </w:pPr>
    </w:p>
    <w:p w14:paraId="16056A02" w14:textId="77777777" w:rsidR="00AE3E76" w:rsidRDefault="00AE3E76">
      <w:pPr>
        <w:spacing w:line="600" w:lineRule="exact"/>
        <w:jc w:val="center"/>
        <w:rPr>
          <w:rFonts w:ascii="黑体" w:eastAsia="黑体" w:hAnsi="黑体" w:hint="eastAsia"/>
          <w:sz w:val="44"/>
        </w:rPr>
      </w:pPr>
    </w:p>
    <w:p w14:paraId="68C08D4A" w14:textId="77777777" w:rsidR="00AE3E76" w:rsidRDefault="00AE3E76">
      <w:pPr>
        <w:spacing w:line="600" w:lineRule="exact"/>
        <w:jc w:val="center"/>
        <w:rPr>
          <w:rFonts w:ascii="黑体" w:eastAsia="黑体" w:hAnsi="黑体" w:hint="eastAsia"/>
          <w:sz w:val="44"/>
        </w:rPr>
      </w:pPr>
      <w:r>
        <w:rPr>
          <w:rFonts w:ascii="黑体" w:eastAsia="黑体" w:hAnsi="黑体" w:hint="eastAsia"/>
          <w:sz w:val="44"/>
        </w:rPr>
        <w:t>目   录</w:t>
      </w:r>
    </w:p>
    <w:p w14:paraId="3DF9436C" w14:textId="77777777" w:rsidR="00AE3E76" w:rsidRDefault="00AE3E76">
      <w:pPr>
        <w:spacing w:line="600" w:lineRule="exact"/>
        <w:rPr>
          <w:rFonts w:ascii="黑体" w:eastAsia="黑体" w:hAnsi="黑体" w:hint="eastAsia"/>
          <w:sz w:val="30"/>
        </w:rPr>
      </w:pPr>
    </w:p>
    <w:p w14:paraId="1E9C6386" w14:textId="77777777" w:rsidR="00AE3E76" w:rsidRDefault="00AE3E76">
      <w:pPr>
        <w:tabs>
          <w:tab w:val="right" w:leader="dot" w:pos="8306"/>
        </w:tabs>
        <w:spacing w:line="700" w:lineRule="exact"/>
        <w:rPr>
          <w:rFonts w:eastAsia="Times New Roman"/>
          <w:noProof/>
          <w:sz w:val="30"/>
          <w:lang w:val="en-US" w:eastAsia="zh-CN"/>
        </w:rPr>
      </w:pPr>
      <w:r>
        <w:rPr>
          <w:rFonts w:ascii="方正小标宋简体" w:eastAsia="方正小标宋简体" w:hAnsi="方正小标宋简体" w:hint="eastAsia"/>
          <w:noProof/>
          <w:sz w:val="30"/>
          <w:lang w:val="en-US" w:eastAsia="zh-CN"/>
        </w:rPr>
        <w:t>第一部分  概 况</w:t>
      </w:r>
      <w:r>
        <w:rPr>
          <w:rFonts w:eastAsia="Times New Roman"/>
          <w:noProof/>
          <w:sz w:val="30"/>
          <w:lang w:val="en-US" w:eastAsia="zh-CN"/>
        </w:rPr>
        <w:tab/>
        <w:t>1</w:t>
      </w:r>
    </w:p>
    <w:p w14:paraId="70A2C49F"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一、主要职责</w:t>
      </w:r>
      <w:r>
        <w:rPr>
          <w:rFonts w:eastAsia="Times New Roman"/>
          <w:sz w:val="30"/>
        </w:rPr>
        <w:tab/>
        <w:t>1</w:t>
      </w:r>
    </w:p>
    <w:p w14:paraId="2F5E09C3"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二、机构设置</w:t>
      </w:r>
      <w:r>
        <w:rPr>
          <w:rFonts w:eastAsia="Times New Roman"/>
          <w:sz w:val="30"/>
        </w:rPr>
        <w:tab/>
        <w:t>1</w:t>
      </w:r>
    </w:p>
    <w:p w14:paraId="45A95D60" w14:textId="77777777" w:rsidR="00AE3E76" w:rsidRDefault="00AE3E76">
      <w:pPr>
        <w:tabs>
          <w:tab w:val="right" w:leader="dot" w:pos="8306"/>
        </w:tabs>
        <w:spacing w:line="700" w:lineRule="exact"/>
        <w:rPr>
          <w:rFonts w:eastAsia="Times New Roman"/>
          <w:noProof/>
          <w:sz w:val="30"/>
          <w:lang w:val="en-US" w:eastAsia="zh-CN"/>
        </w:rPr>
      </w:pPr>
      <w:r>
        <w:rPr>
          <w:rFonts w:ascii="方正小标宋简体" w:eastAsia="方正小标宋简体" w:hAnsi="方正小标宋简体" w:hint="eastAsia"/>
          <w:noProof/>
          <w:sz w:val="30"/>
          <w:lang w:val="en-US" w:eastAsia="zh-CN"/>
        </w:rPr>
        <w:t>第二部分  2022年度部门决算表</w:t>
      </w:r>
      <w:r>
        <w:rPr>
          <w:rFonts w:eastAsia="Times New Roman"/>
          <w:noProof/>
          <w:sz w:val="30"/>
          <w:lang w:val="en-US" w:eastAsia="zh-CN"/>
        </w:rPr>
        <w:tab/>
        <w:t>2</w:t>
      </w:r>
    </w:p>
    <w:p w14:paraId="0D6FF60F"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一、收入支出决算总表</w:t>
      </w:r>
      <w:r>
        <w:rPr>
          <w:rFonts w:eastAsia="Times New Roman"/>
          <w:sz w:val="30"/>
        </w:rPr>
        <w:tab/>
        <w:t>2</w:t>
      </w:r>
    </w:p>
    <w:p w14:paraId="1B3F4A2F"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二、收入决算表（按功能分类列示）</w:t>
      </w:r>
      <w:r>
        <w:rPr>
          <w:rFonts w:eastAsia="Times New Roman"/>
          <w:sz w:val="30"/>
        </w:rPr>
        <w:tab/>
        <w:t>2</w:t>
      </w:r>
    </w:p>
    <w:p w14:paraId="660DB168"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三、收入决算表（按单位列示）</w:t>
      </w:r>
      <w:r>
        <w:rPr>
          <w:rFonts w:eastAsia="Times New Roman"/>
          <w:sz w:val="30"/>
        </w:rPr>
        <w:tab/>
        <w:t>2</w:t>
      </w:r>
    </w:p>
    <w:p w14:paraId="365BD5CC"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四、支出决算表</w:t>
      </w:r>
      <w:r>
        <w:rPr>
          <w:rFonts w:eastAsia="Times New Roman"/>
          <w:sz w:val="30"/>
        </w:rPr>
        <w:tab/>
        <w:t>2</w:t>
      </w:r>
    </w:p>
    <w:p w14:paraId="7C25C5FA"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五、财政拨款收入支出决算总表</w:t>
      </w:r>
      <w:r>
        <w:rPr>
          <w:rFonts w:eastAsia="Times New Roman"/>
          <w:sz w:val="30"/>
        </w:rPr>
        <w:tab/>
        <w:t>2</w:t>
      </w:r>
    </w:p>
    <w:p w14:paraId="502903FA"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六、一般公共预算财政拨款支出决算表</w:t>
      </w:r>
      <w:r>
        <w:rPr>
          <w:rFonts w:eastAsia="Times New Roman"/>
          <w:sz w:val="30"/>
        </w:rPr>
        <w:tab/>
        <w:t>2</w:t>
      </w:r>
    </w:p>
    <w:p w14:paraId="508A66E9"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七、一般公共预算财政拨款基本支出决算表</w:t>
      </w:r>
      <w:r>
        <w:rPr>
          <w:rFonts w:eastAsia="Times New Roman"/>
          <w:sz w:val="30"/>
        </w:rPr>
        <w:tab/>
        <w:t>2</w:t>
      </w:r>
    </w:p>
    <w:p w14:paraId="689AD15C"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八、政府性基金预算财政拨款收入支出决算表</w:t>
      </w:r>
      <w:r>
        <w:rPr>
          <w:rFonts w:eastAsia="Times New Roman"/>
          <w:sz w:val="30"/>
        </w:rPr>
        <w:tab/>
        <w:t>2</w:t>
      </w:r>
    </w:p>
    <w:p w14:paraId="165E92A9"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九、国有资本经营预算财政拨款收入支出决算表</w:t>
      </w:r>
      <w:r>
        <w:rPr>
          <w:rFonts w:eastAsia="Times New Roman"/>
          <w:sz w:val="30"/>
        </w:rPr>
        <w:tab/>
        <w:t>2</w:t>
      </w:r>
    </w:p>
    <w:p w14:paraId="452D27E0"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十、一般公共预算财政拨款“三公”经费支出决算表</w:t>
      </w:r>
      <w:r>
        <w:rPr>
          <w:rFonts w:eastAsia="Times New Roman"/>
          <w:sz w:val="30"/>
        </w:rPr>
        <w:tab/>
        <w:t>2</w:t>
      </w:r>
    </w:p>
    <w:p w14:paraId="705F84FA"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十一、项目支出决算表</w:t>
      </w:r>
      <w:r>
        <w:rPr>
          <w:rFonts w:eastAsia="Times New Roman"/>
          <w:sz w:val="30"/>
        </w:rPr>
        <w:tab/>
        <w:t>2</w:t>
      </w:r>
    </w:p>
    <w:p w14:paraId="1B7D6B66" w14:textId="77777777" w:rsidR="00AE3E76" w:rsidRDefault="00AE3E76">
      <w:pPr>
        <w:tabs>
          <w:tab w:val="right" w:leader="dot" w:pos="8306"/>
        </w:tabs>
        <w:spacing w:line="700" w:lineRule="exact"/>
        <w:ind w:left="220"/>
        <w:rPr>
          <w:rFonts w:ascii="仿宋_GB2312" w:eastAsia="仿宋_GB2312" w:hAnsi="仿宋_GB2312" w:hint="eastAsia"/>
          <w:sz w:val="30"/>
        </w:rPr>
        <w:sectPr w:rsidR="00AE3E76">
          <w:footerReference w:type="default" r:id="rId8"/>
          <w:pgSz w:w="12240" w:h="15840"/>
          <w:pgMar w:top="1440" w:right="1800" w:bottom="1440" w:left="1800" w:header="720" w:footer="720" w:gutter="0"/>
          <w:pgNumType w:start="1"/>
          <w:cols w:space="720"/>
        </w:sectPr>
      </w:pPr>
    </w:p>
    <w:p w14:paraId="358DF635"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lastRenderedPageBreak/>
        <w:t>十二、关于空表的说明</w:t>
      </w:r>
      <w:r>
        <w:rPr>
          <w:rFonts w:eastAsia="Times New Roman"/>
          <w:sz w:val="30"/>
        </w:rPr>
        <w:tab/>
        <w:t>3</w:t>
      </w:r>
    </w:p>
    <w:p w14:paraId="222B140A" w14:textId="77777777" w:rsidR="00AE3E76" w:rsidRDefault="00AE3E76">
      <w:pPr>
        <w:tabs>
          <w:tab w:val="right" w:leader="dot" w:pos="8306"/>
        </w:tabs>
        <w:spacing w:line="700" w:lineRule="exact"/>
        <w:rPr>
          <w:rFonts w:eastAsia="Times New Roman"/>
          <w:noProof/>
          <w:sz w:val="30"/>
          <w:lang w:val="en-US" w:eastAsia="zh-CN"/>
        </w:rPr>
      </w:pPr>
      <w:r>
        <w:rPr>
          <w:rFonts w:ascii="方正小标宋简体" w:eastAsia="方正小标宋简体" w:hAnsi="方正小标宋简体" w:hint="eastAsia"/>
          <w:noProof/>
          <w:sz w:val="30"/>
          <w:lang w:val="en-US" w:eastAsia="zh-CN"/>
        </w:rPr>
        <w:t>第三部分  2022年度部门决算情况说明</w:t>
      </w:r>
      <w:r>
        <w:rPr>
          <w:rFonts w:eastAsia="Times New Roman"/>
          <w:noProof/>
          <w:sz w:val="30"/>
          <w:lang w:val="en-US" w:eastAsia="zh-CN"/>
        </w:rPr>
        <w:tab/>
        <w:t>4</w:t>
      </w:r>
    </w:p>
    <w:p w14:paraId="69AC93BB"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一、收支决算总体情况说明</w:t>
      </w:r>
      <w:r>
        <w:rPr>
          <w:rFonts w:eastAsia="Times New Roman"/>
          <w:sz w:val="30"/>
        </w:rPr>
        <w:tab/>
        <w:t>4</w:t>
      </w:r>
    </w:p>
    <w:p w14:paraId="1CAC4D72"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二、收入决算情况说明</w:t>
      </w:r>
      <w:r>
        <w:rPr>
          <w:rFonts w:eastAsia="Times New Roman"/>
          <w:sz w:val="30"/>
        </w:rPr>
        <w:tab/>
        <w:t>4</w:t>
      </w:r>
    </w:p>
    <w:p w14:paraId="1923C018"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三、支出决算情况说明</w:t>
      </w:r>
      <w:r>
        <w:rPr>
          <w:rFonts w:eastAsia="Times New Roman"/>
          <w:sz w:val="30"/>
        </w:rPr>
        <w:tab/>
        <w:t>4</w:t>
      </w:r>
    </w:p>
    <w:p w14:paraId="0B8D1C9B"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四、财政拨款收支决算总体情况说明</w:t>
      </w:r>
      <w:r>
        <w:rPr>
          <w:rFonts w:eastAsia="Times New Roman"/>
          <w:sz w:val="30"/>
        </w:rPr>
        <w:tab/>
        <w:t>5</w:t>
      </w:r>
    </w:p>
    <w:p w14:paraId="3F8F2F84"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五、一般公共预算财政拨款支出决算情况说明</w:t>
      </w:r>
      <w:r>
        <w:rPr>
          <w:rFonts w:eastAsia="Times New Roman"/>
          <w:sz w:val="30"/>
        </w:rPr>
        <w:tab/>
        <w:t>5</w:t>
      </w:r>
    </w:p>
    <w:p w14:paraId="731EA02F" w14:textId="77777777" w:rsidR="00AE3E76" w:rsidRDefault="00AE3E76">
      <w:pPr>
        <w:tabs>
          <w:tab w:val="right" w:leader="dot" w:pos="8306"/>
        </w:tabs>
        <w:spacing w:line="700" w:lineRule="exact"/>
        <w:ind w:left="220"/>
        <w:rPr>
          <w:sz w:val="30"/>
        </w:rPr>
      </w:pPr>
      <w:r>
        <w:rPr>
          <w:rFonts w:ascii="仿宋_GB2312" w:eastAsia="仿宋_GB2312" w:hAnsi="仿宋_GB2312" w:hint="eastAsia"/>
          <w:sz w:val="30"/>
        </w:rPr>
        <w:t>六、一般公共预算财政拨款基本支出决算情况说明</w:t>
      </w:r>
      <w:r>
        <w:rPr>
          <w:rFonts w:eastAsia="Times New Roman"/>
          <w:sz w:val="30"/>
        </w:rPr>
        <w:tab/>
      </w:r>
      <w:r>
        <w:rPr>
          <w:sz w:val="30"/>
        </w:rPr>
        <w:t>7</w:t>
      </w:r>
    </w:p>
    <w:p w14:paraId="78F424FB"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七、政府性基金预算财政拨款收支决算情况说明</w:t>
      </w:r>
      <w:r>
        <w:rPr>
          <w:rFonts w:eastAsia="Times New Roman"/>
          <w:sz w:val="30"/>
        </w:rPr>
        <w:tab/>
        <w:t>7</w:t>
      </w:r>
    </w:p>
    <w:p w14:paraId="493B9F67"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八、国有资本经营预算财政拨款收支决算情况说明</w:t>
      </w:r>
      <w:r>
        <w:rPr>
          <w:rFonts w:eastAsia="Times New Roman"/>
          <w:sz w:val="30"/>
        </w:rPr>
        <w:tab/>
        <w:t>7</w:t>
      </w:r>
    </w:p>
    <w:p w14:paraId="0F5F13C1"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九、一般公共预算财政拨款“三公”经费支出决算情况说明</w:t>
      </w:r>
      <w:r>
        <w:rPr>
          <w:rFonts w:eastAsia="Times New Roman"/>
          <w:sz w:val="30"/>
        </w:rPr>
        <w:tab/>
        <w:t>7</w:t>
      </w:r>
    </w:p>
    <w:p w14:paraId="4D8584B7"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十、机关运行经费支出情况说明</w:t>
      </w:r>
      <w:r>
        <w:rPr>
          <w:rFonts w:eastAsia="Times New Roman"/>
          <w:sz w:val="30"/>
        </w:rPr>
        <w:tab/>
        <w:t>8</w:t>
      </w:r>
    </w:p>
    <w:p w14:paraId="164143C3" w14:textId="77777777" w:rsidR="00AE3E76" w:rsidRDefault="00AE3E76">
      <w:pPr>
        <w:tabs>
          <w:tab w:val="right" w:leader="dot" w:pos="8306"/>
        </w:tabs>
        <w:spacing w:line="700" w:lineRule="exact"/>
        <w:ind w:left="220"/>
        <w:rPr>
          <w:sz w:val="30"/>
        </w:rPr>
      </w:pPr>
      <w:r>
        <w:rPr>
          <w:rFonts w:ascii="仿宋_GB2312" w:eastAsia="仿宋_GB2312" w:hAnsi="仿宋_GB2312" w:hint="eastAsia"/>
          <w:sz w:val="30"/>
        </w:rPr>
        <w:t>十一、政府采购支出情况说明</w:t>
      </w:r>
      <w:r>
        <w:rPr>
          <w:rFonts w:eastAsia="Times New Roman"/>
          <w:sz w:val="30"/>
        </w:rPr>
        <w:tab/>
      </w:r>
      <w:r>
        <w:rPr>
          <w:sz w:val="30"/>
        </w:rPr>
        <w:t>9</w:t>
      </w:r>
    </w:p>
    <w:p w14:paraId="60D15D2A" w14:textId="77777777" w:rsidR="00AE3E76" w:rsidRDefault="00AE3E76">
      <w:pPr>
        <w:tabs>
          <w:tab w:val="right" w:leader="dot" w:pos="8306"/>
        </w:tabs>
        <w:spacing w:line="700" w:lineRule="exact"/>
        <w:ind w:left="220"/>
        <w:rPr>
          <w:sz w:val="30"/>
        </w:rPr>
      </w:pPr>
      <w:r>
        <w:rPr>
          <w:rFonts w:ascii="仿宋_GB2312" w:eastAsia="仿宋_GB2312" w:hAnsi="仿宋_GB2312" w:hint="eastAsia"/>
          <w:sz w:val="30"/>
        </w:rPr>
        <w:t>十二、国有资产占有使用情况说明</w:t>
      </w:r>
      <w:r>
        <w:rPr>
          <w:rFonts w:eastAsia="Times New Roman"/>
          <w:sz w:val="30"/>
        </w:rPr>
        <w:tab/>
      </w:r>
      <w:r>
        <w:rPr>
          <w:sz w:val="30"/>
        </w:rPr>
        <w:t>9</w:t>
      </w:r>
    </w:p>
    <w:p w14:paraId="5AEFFF7B" w14:textId="77777777" w:rsidR="00AE3E76" w:rsidRDefault="00AE3E76">
      <w:pPr>
        <w:tabs>
          <w:tab w:val="right" w:leader="dot" w:pos="8306"/>
        </w:tabs>
        <w:spacing w:line="700" w:lineRule="exact"/>
        <w:ind w:left="220"/>
        <w:rPr>
          <w:rFonts w:eastAsia="Times New Roman"/>
          <w:sz w:val="30"/>
        </w:rPr>
      </w:pPr>
      <w:r>
        <w:rPr>
          <w:rFonts w:ascii="仿宋_GB2312" w:eastAsia="仿宋_GB2312" w:hAnsi="仿宋_GB2312" w:hint="eastAsia"/>
          <w:sz w:val="30"/>
        </w:rPr>
        <w:t>十三、预算绩效情况说明</w:t>
      </w:r>
      <w:r>
        <w:rPr>
          <w:rFonts w:eastAsia="Times New Roman"/>
          <w:sz w:val="30"/>
        </w:rPr>
        <w:tab/>
        <w:t>9</w:t>
      </w:r>
    </w:p>
    <w:p w14:paraId="4428E8C0" w14:textId="77777777" w:rsidR="00AE3E76" w:rsidRDefault="00AE3E76">
      <w:pPr>
        <w:tabs>
          <w:tab w:val="right" w:leader="dot" w:pos="8306"/>
        </w:tabs>
        <w:spacing w:line="700" w:lineRule="exact"/>
        <w:ind w:left="220"/>
        <w:rPr>
          <w:sz w:val="30"/>
        </w:rPr>
      </w:pPr>
      <w:r>
        <w:rPr>
          <w:rFonts w:ascii="仿宋_GB2312" w:eastAsia="仿宋_GB2312" w:hAnsi="仿宋_GB2312" w:hint="eastAsia"/>
          <w:sz w:val="30"/>
        </w:rPr>
        <w:t>十四、教育、医疗卫生、社会保障和就业、住房保障、涉农补贴等民生支出情况说明</w:t>
      </w:r>
      <w:r>
        <w:rPr>
          <w:rFonts w:eastAsia="Times New Roman"/>
          <w:sz w:val="30"/>
        </w:rPr>
        <w:tab/>
      </w:r>
      <w:r>
        <w:rPr>
          <w:sz w:val="30"/>
        </w:rPr>
        <w:t>9</w:t>
      </w:r>
    </w:p>
    <w:p w14:paraId="7075EA22" w14:textId="77777777" w:rsidR="00AE3E76" w:rsidRDefault="00AE3E76">
      <w:pPr>
        <w:tabs>
          <w:tab w:val="right" w:leader="dot" w:pos="8306"/>
        </w:tabs>
        <w:spacing w:line="700" w:lineRule="exact"/>
        <w:rPr>
          <w:rFonts w:ascii="黑体" w:eastAsia="黑体"/>
          <w:kern w:val="2"/>
          <w:sz w:val="30"/>
        </w:rPr>
        <w:sectPr w:rsidR="00AE3E76">
          <w:footerReference w:type="default" r:id="rId9"/>
          <w:pgSz w:w="12240" w:h="15840"/>
          <w:pgMar w:top="1440" w:right="1800" w:bottom="1440" w:left="1800" w:header="720" w:footer="720" w:gutter="0"/>
          <w:pgNumType w:start="1"/>
          <w:cols w:space="720"/>
        </w:sectPr>
      </w:pPr>
      <w:r>
        <w:rPr>
          <w:rFonts w:ascii="方正小标宋简体" w:eastAsia="方正小标宋简体" w:hAnsi="方正小标宋简体" w:hint="eastAsia"/>
          <w:noProof/>
          <w:sz w:val="30"/>
          <w:lang w:val="en-US" w:eastAsia="zh-CN"/>
        </w:rPr>
        <w:t>第四部分  名词解释</w:t>
      </w:r>
      <w:r>
        <w:rPr>
          <w:rFonts w:eastAsia="Times New Roman"/>
          <w:noProof/>
          <w:sz w:val="30"/>
          <w:lang w:val="en-US" w:eastAsia="zh-CN"/>
        </w:rPr>
        <w:tab/>
        <w:t>1</w:t>
      </w:r>
      <w:r>
        <w:rPr>
          <w:sz w:val="30"/>
        </w:rPr>
        <w:t>0</w:t>
      </w:r>
    </w:p>
    <w:p w14:paraId="76A41921" w14:textId="77777777" w:rsidR="00AE3E76" w:rsidRDefault="00AE3E76">
      <w:pPr>
        <w:spacing w:line="700" w:lineRule="exact"/>
        <w:rPr>
          <w:rFonts w:ascii="黑体" w:eastAsia="黑体" w:hAnsi="黑体" w:hint="eastAsia"/>
          <w:kern w:val="2"/>
          <w:sz w:val="30"/>
          <w:lang w:val="zh-CN"/>
        </w:rPr>
      </w:pPr>
    </w:p>
    <w:p w14:paraId="1064EDB8" w14:textId="77777777" w:rsidR="00AE3E76" w:rsidRDefault="00AE3E76">
      <w:pPr>
        <w:pStyle w:val="1"/>
        <w:keepNext/>
        <w:keepLines/>
        <w:spacing w:line="600" w:lineRule="exact"/>
        <w:jc w:val="center"/>
        <w:rPr>
          <w:rFonts w:ascii="方正小标宋简体" w:eastAsia="方正小标宋简体" w:hAnsi="方正小标宋简体" w:hint="eastAsia"/>
          <w:kern w:val="44"/>
          <w:sz w:val="44"/>
        </w:rPr>
      </w:pPr>
      <w:r>
        <w:rPr>
          <w:rFonts w:ascii="方正小标宋简体" w:eastAsia="方正小标宋简体" w:hAnsi="方正小标宋简体" w:hint="eastAsia"/>
          <w:kern w:val="44"/>
          <w:sz w:val="44"/>
        </w:rPr>
        <w:t>第一部分  概 况</w:t>
      </w:r>
    </w:p>
    <w:p w14:paraId="0B006086" w14:textId="77777777" w:rsidR="00AE3E76" w:rsidRDefault="00AE3E76">
      <w:pPr>
        <w:spacing w:line="600" w:lineRule="exact"/>
        <w:rPr>
          <w:rFonts w:eastAsia="Times New Roman"/>
        </w:rPr>
      </w:pPr>
    </w:p>
    <w:p w14:paraId="28839C65" w14:textId="77777777" w:rsidR="00AE3E76" w:rsidRDefault="00AE3E76">
      <w:pPr>
        <w:pStyle w:val="2"/>
        <w:keepNext/>
        <w:keepLines/>
        <w:spacing w:line="600" w:lineRule="exact"/>
        <w:ind w:firstLine="600"/>
        <w:rPr>
          <w:rFonts w:ascii="黑体" w:eastAsia="黑体" w:hAnsi="黑体" w:hint="eastAsia"/>
          <w:sz w:val="30"/>
        </w:rPr>
      </w:pPr>
      <w:r>
        <w:rPr>
          <w:rFonts w:ascii="黑体" w:eastAsia="黑体" w:hAnsi="黑体" w:hint="eastAsia"/>
          <w:sz w:val="30"/>
        </w:rPr>
        <w:t>一、主要职责</w:t>
      </w:r>
    </w:p>
    <w:p w14:paraId="5C138C82" w14:textId="77777777" w:rsidR="00AE3E76" w:rsidRDefault="00AE3E76">
      <w:pPr>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天津市化学工业学校主要职责是负责事业单位的国有资产管理，接收并支付财政拨款，编制事业单位的预算和决算。</w:t>
      </w:r>
    </w:p>
    <w:p w14:paraId="75022B71" w14:textId="77777777" w:rsidR="00AE3E76" w:rsidRDefault="00AE3E76">
      <w:pPr>
        <w:pStyle w:val="2"/>
        <w:keepNext/>
        <w:keepLines/>
        <w:spacing w:line="600" w:lineRule="exact"/>
        <w:ind w:firstLine="600"/>
        <w:rPr>
          <w:rFonts w:ascii="黑体" w:eastAsia="黑体" w:hAnsi="黑体" w:hint="eastAsia"/>
          <w:sz w:val="30"/>
        </w:rPr>
      </w:pPr>
      <w:r>
        <w:rPr>
          <w:rFonts w:ascii="黑体" w:eastAsia="黑体" w:hAnsi="黑体" w:hint="eastAsia"/>
          <w:sz w:val="30"/>
        </w:rPr>
        <w:t>二、机构设置</w:t>
      </w:r>
    </w:p>
    <w:p w14:paraId="6F49948B" w14:textId="77777777" w:rsidR="00AE3E76" w:rsidRDefault="00AE3E76">
      <w:pPr>
        <w:spacing w:line="600" w:lineRule="exact"/>
        <w:ind w:firstLine="600"/>
        <w:rPr>
          <w:rFonts w:ascii="仿宋_GB2312" w:eastAsia="仿宋_GB2312" w:hAnsi="仿宋_GB2312" w:cs="仿宋_GB2312" w:hint="eastAsia"/>
          <w:sz w:val="30"/>
          <w:szCs w:val="30"/>
        </w:rPr>
      </w:pPr>
      <w:r>
        <w:rPr>
          <w:rFonts w:ascii="仿宋_GB2312" w:eastAsia="仿宋_GB2312" w:hAnsi="仿宋_GB2312" w:cs="仿宋_GB2312" w:hint="eastAsia"/>
          <w:sz w:val="30"/>
          <w:szCs w:val="30"/>
        </w:rPr>
        <w:t>天津市化学工业学校内设10个职能处室，1个预算单位。</w:t>
      </w:r>
    </w:p>
    <w:p w14:paraId="74D49A7E" w14:textId="77777777" w:rsidR="00AE3E76" w:rsidRDefault="00AE3E76">
      <w:pPr>
        <w:spacing w:line="580" w:lineRule="exact"/>
        <w:ind w:firstLine="600"/>
        <w:rPr>
          <w:rFonts w:ascii="仿宋_GB2312" w:eastAsia="仿宋_GB2312" w:hAnsi="仿宋_GB2312" w:hint="eastAsia"/>
          <w:kern w:val="2"/>
          <w:sz w:val="30"/>
        </w:rPr>
      </w:pPr>
    </w:p>
    <w:p w14:paraId="1B37D9AC" w14:textId="77777777" w:rsidR="00AE3E76" w:rsidRDefault="00AE3E76">
      <w:pPr>
        <w:pStyle w:val="1"/>
        <w:keepNext/>
        <w:keepLines/>
        <w:spacing w:before="340" w:after="330" w:line="600" w:lineRule="exact"/>
        <w:jc w:val="both"/>
        <w:rPr>
          <w:rFonts w:ascii="黑体" w:eastAsia="黑体" w:hAnsi="黑体" w:hint="eastAsia"/>
          <w:kern w:val="2"/>
          <w:sz w:val="30"/>
        </w:rPr>
      </w:pPr>
    </w:p>
    <w:p w14:paraId="48A665BD" w14:textId="77777777" w:rsidR="00AE3E76" w:rsidRDefault="00AE3E76">
      <w:pPr>
        <w:spacing w:line="360" w:lineRule="atLeast"/>
        <w:jc w:val="center"/>
        <w:rPr>
          <w:rFonts w:ascii="黑体" w:eastAsia="黑体" w:hAnsi="黑体" w:hint="eastAsia"/>
          <w:kern w:val="2"/>
          <w:sz w:val="30"/>
          <w:lang w:val="zh-CN"/>
        </w:rPr>
      </w:pPr>
    </w:p>
    <w:p w14:paraId="3299DDBA" w14:textId="77777777" w:rsidR="00AE3E76" w:rsidRDefault="00AE3E76">
      <w:pPr>
        <w:spacing w:line="360" w:lineRule="atLeast"/>
        <w:jc w:val="center"/>
        <w:rPr>
          <w:rFonts w:ascii="黑体" w:eastAsia="黑体" w:hAnsi="黑体" w:hint="eastAsia"/>
          <w:kern w:val="2"/>
          <w:sz w:val="30"/>
          <w:lang w:val="zh-CN"/>
        </w:rPr>
      </w:pPr>
    </w:p>
    <w:p w14:paraId="53DBE8C8" w14:textId="77777777" w:rsidR="00AE3E76" w:rsidRDefault="00AE3E76">
      <w:pPr>
        <w:spacing w:line="360" w:lineRule="atLeast"/>
        <w:jc w:val="center"/>
        <w:rPr>
          <w:rFonts w:ascii="黑体" w:eastAsia="黑体" w:hAnsi="黑体" w:hint="eastAsia"/>
          <w:kern w:val="2"/>
          <w:sz w:val="30"/>
          <w:lang w:val="zh-CN"/>
        </w:rPr>
      </w:pPr>
    </w:p>
    <w:p w14:paraId="367E340C" w14:textId="77777777" w:rsidR="00AE3E76" w:rsidRDefault="00AE3E76">
      <w:pPr>
        <w:spacing w:line="360" w:lineRule="atLeast"/>
        <w:jc w:val="center"/>
        <w:rPr>
          <w:rFonts w:ascii="黑体" w:eastAsia="黑体" w:hAnsi="黑体" w:hint="eastAsia"/>
          <w:kern w:val="2"/>
          <w:sz w:val="30"/>
          <w:lang w:val="zh-CN"/>
        </w:rPr>
      </w:pPr>
    </w:p>
    <w:p w14:paraId="229F7FB6" w14:textId="77777777" w:rsidR="00AE3E76" w:rsidRDefault="00AE3E76">
      <w:pPr>
        <w:spacing w:line="360" w:lineRule="atLeast"/>
        <w:jc w:val="center"/>
        <w:rPr>
          <w:rFonts w:ascii="黑体" w:eastAsia="黑体" w:hAnsi="黑体" w:hint="eastAsia"/>
          <w:kern w:val="2"/>
          <w:sz w:val="30"/>
          <w:lang w:val="zh-CN"/>
        </w:rPr>
      </w:pPr>
    </w:p>
    <w:p w14:paraId="5BF32A4E" w14:textId="77777777" w:rsidR="00AE3E76" w:rsidRDefault="00AE3E76">
      <w:pPr>
        <w:spacing w:line="360" w:lineRule="atLeast"/>
        <w:jc w:val="center"/>
        <w:rPr>
          <w:rFonts w:ascii="黑体" w:eastAsia="黑体" w:hAnsi="黑体" w:hint="eastAsia"/>
          <w:kern w:val="2"/>
          <w:sz w:val="30"/>
          <w:lang w:val="zh-CN"/>
        </w:rPr>
      </w:pPr>
    </w:p>
    <w:p w14:paraId="1AAACD3A" w14:textId="77777777" w:rsidR="00AE3E76" w:rsidRDefault="00AE3E76">
      <w:pPr>
        <w:spacing w:line="360" w:lineRule="atLeast"/>
        <w:jc w:val="center"/>
        <w:rPr>
          <w:rFonts w:ascii="黑体" w:eastAsia="黑体" w:hAnsi="黑体" w:hint="eastAsia"/>
          <w:kern w:val="2"/>
          <w:sz w:val="30"/>
          <w:lang w:val="zh-CN"/>
        </w:rPr>
      </w:pPr>
    </w:p>
    <w:p w14:paraId="258FEA36" w14:textId="77777777" w:rsidR="00AE3E76" w:rsidRDefault="00AE3E76">
      <w:pPr>
        <w:spacing w:line="360" w:lineRule="atLeast"/>
        <w:jc w:val="center"/>
        <w:rPr>
          <w:rFonts w:ascii="黑体" w:eastAsia="黑体" w:hAnsi="黑体" w:hint="eastAsia"/>
          <w:kern w:val="2"/>
          <w:sz w:val="30"/>
          <w:lang w:val="zh-CN"/>
        </w:rPr>
      </w:pPr>
    </w:p>
    <w:p w14:paraId="1D18DFAD" w14:textId="77777777" w:rsidR="00AE3E76" w:rsidRDefault="00AE3E76">
      <w:pPr>
        <w:spacing w:line="360" w:lineRule="atLeast"/>
        <w:jc w:val="center"/>
        <w:rPr>
          <w:rFonts w:ascii="黑体" w:eastAsia="黑体" w:hAnsi="黑体" w:hint="eastAsia"/>
          <w:kern w:val="2"/>
          <w:sz w:val="30"/>
          <w:lang w:val="zh-CN"/>
        </w:rPr>
      </w:pPr>
    </w:p>
    <w:p w14:paraId="5E49C351" w14:textId="77777777" w:rsidR="00AE3E76" w:rsidRDefault="00AE3E76">
      <w:pPr>
        <w:spacing w:line="360" w:lineRule="atLeast"/>
        <w:jc w:val="center"/>
        <w:rPr>
          <w:rFonts w:ascii="黑体" w:eastAsia="黑体" w:hAnsi="黑体" w:hint="eastAsia"/>
          <w:kern w:val="2"/>
          <w:sz w:val="30"/>
          <w:lang w:val="zh-CN"/>
        </w:rPr>
      </w:pPr>
    </w:p>
    <w:p w14:paraId="4ED6E19A" w14:textId="77777777" w:rsidR="00AE3E76" w:rsidRDefault="00AE3E76">
      <w:pPr>
        <w:spacing w:line="360" w:lineRule="atLeast"/>
        <w:jc w:val="center"/>
        <w:rPr>
          <w:rFonts w:ascii="黑体" w:eastAsia="黑体" w:hAnsi="黑体" w:hint="eastAsia"/>
          <w:kern w:val="2"/>
          <w:sz w:val="30"/>
          <w:lang w:val="zh-CN"/>
        </w:rPr>
      </w:pPr>
    </w:p>
    <w:p w14:paraId="2499AF5B" w14:textId="77777777" w:rsidR="00AE3E76" w:rsidRDefault="00AE3E76">
      <w:pPr>
        <w:spacing w:line="360" w:lineRule="atLeast"/>
        <w:jc w:val="center"/>
        <w:rPr>
          <w:rFonts w:ascii="黑体" w:eastAsia="黑体" w:hAnsi="黑体" w:hint="eastAsia"/>
          <w:kern w:val="2"/>
          <w:sz w:val="30"/>
          <w:lang w:val="zh-CN"/>
        </w:rPr>
      </w:pPr>
    </w:p>
    <w:p w14:paraId="36E90ACE" w14:textId="77777777" w:rsidR="00AE3E76" w:rsidRDefault="00AE3E76">
      <w:pPr>
        <w:spacing w:line="360" w:lineRule="atLeast"/>
        <w:jc w:val="center"/>
        <w:rPr>
          <w:rFonts w:ascii="黑体" w:eastAsia="黑体" w:hAnsi="黑体" w:hint="eastAsia"/>
          <w:kern w:val="2"/>
          <w:sz w:val="30"/>
          <w:lang w:val="zh-CN"/>
        </w:rPr>
      </w:pPr>
    </w:p>
    <w:p w14:paraId="25504506" w14:textId="77777777" w:rsidR="00AE3E76" w:rsidRDefault="00AE3E76">
      <w:pPr>
        <w:spacing w:line="360" w:lineRule="atLeast"/>
        <w:jc w:val="center"/>
        <w:rPr>
          <w:rFonts w:ascii="黑体" w:eastAsia="黑体" w:hAnsi="黑体" w:hint="eastAsia"/>
          <w:kern w:val="2"/>
          <w:sz w:val="30"/>
          <w:lang w:val="zh-CN"/>
        </w:rPr>
      </w:pPr>
    </w:p>
    <w:p w14:paraId="1374B5E6" w14:textId="77777777" w:rsidR="00AE3E76" w:rsidRDefault="00AE3E76">
      <w:pPr>
        <w:pStyle w:val="1"/>
        <w:keepNext/>
        <w:keepLines/>
        <w:spacing w:line="600" w:lineRule="exact"/>
        <w:jc w:val="center"/>
        <w:rPr>
          <w:rFonts w:ascii="方正小标宋简体" w:eastAsia="方正小标宋简体" w:hAnsi="方正小标宋简体" w:hint="eastAsia"/>
          <w:kern w:val="44"/>
          <w:sz w:val="44"/>
        </w:rPr>
      </w:pPr>
      <w:r>
        <w:rPr>
          <w:rFonts w:ascii="方正小标宋简体" w:eastAsia="方正小标宋简体" w:hAnsi="方正小标宋简体" w:hint="eastAsia"/>
          <w:kern w:val="44"/>
          <w:sz w:val="44"/>
        </w:rPr>
        <w:lastRenderedPageBreak/>
        <w:t>第二部分  2022年度部门决算表</w:t>
      </w:r>
    </w:p>
    <w:p w14:paraId="7F72ED4D" w14:textId="77777777" w:rsidR="00AE3E76" w:rsidRDefault="00AE3E76">
      <w:pPr>
        <w:spacing w:line="600" w:lineRule="exact"/>
        <w:rPr>
          <w:rFonts w:eastAsia="Times New Roman"/>
        </w:rPr>
      </w:pPr>
    </w:p>
    <w:p w14:paraId="77069E60"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一、《收入支出决算总表》</w:t>
      </w:r>
    </w:p>
    <w:p w14:paraId="53F6CF5F"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二、《收入决算表（按功能分类列示）》</w:t>
      </w:r>
    </w:p>
    <w:p w14:paraId="3E7E4B26"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三、《收入决算表（按单位列示）》</w:t>
      </w:r>
    </w:p>
    <w:p w14:paraId="0E15D044"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四、《支出决算表》</w:t>
      </w:r>
    </w:p>
    <w:p w14:paraId="75E383E9"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五、《财政拨款收入支出决算总表》</w:t>
      </w:r>
    </w:p>
    <w:p w14:paraId="34487F3A"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六、《一般公共预算财政拨款支出决算表》</w:t>
      </w:r>
    </w:p>
    <w:p w14:paraId="5C459807"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七、《一般公共预算财政拨款基本支出决算表》</w:t>
      </w:r>
    </w:p>
    <w:p w14:paraId="74E63B14"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八、《政府性基金预算财政拨款收入支出决算表》</w:t>
      </w:r>
    </w:p>
    <w:p w14:paraId="3F7555BE"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九、《国有资本经营预算财政拨款收入支出决算表》</w:t>
      </w:r>
    </w:p>
    <w:p w14:paraId="13672E05"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十、《一般公共预算财政拨款“三公”经费支出决算表》</w:t>
      </w:r>
    </w:p>
    <w:p w14:paraId="785D410B" w14:textId="77777777" w:rsidR="00AE3E76" w:rsidRDefault="00AE3E76">
      <w:pPr>
        <w:pStyle w:val="2"/>
        <w:keepNext/>
        <w:keepLines/>
        <w:spacing w:line="800" w:lineRule="exact"/>
        <w:ind w:firstLine="600"/>
        <w:rPr>
          <w:rFonts w:ascii="黑体" w:eastAsia="黑体" w:hAnsi="黑体" w:hint="eastAsia"/>
          <w:sz w:val="30"/>
        </w:rPr>
      </w:pPr>
      <w:r>
        <w:rPr>
          <w:rFonts w:ascii="黑体" w:eastAsia="黑体" w:hAnsi="黑体" w:hint="eastAsia"/>
          <w:sz w:val="30"/>
        </w:rPr>
        <w:t>十一、《项目支出决算表》</w:t>
      </w:r>
    </w:p>
    <w:p w14:paraId="2C952AEC" w14:textId="77777777" w:rsidR="00AE3E76" w:rsidRDefault="00AE3E76">
      <w:pPr>
        <w:spacing w:line="600" w:lineRule="exact"/>
        <w:rPr>
          <w:rFonts w:ascii="黑体" w:eastAsia="黑体" w:hAnsi="黑体" w:hint="eastAsia"/>
          <w:b/>
          <w:sz w:val="30"/>
        </w:rPr>
      </w:pPr>
      <w:r>
        <w:rPr>
          <w:rFonts w:eastAsia="Times New Roman"/>
        </w:rPr>
        <w:br w:type="page"/>
      </w:r>
      <w:r>
        <w:rPr>
          <w:rFonts w:eastAsia="Times New Roman"/>
        </w:rPr>
        <w:lastRenderedPageBreak/>
        <w:t xml:space="preserve">    </w:t>
      </w:r>
      <w:r>
        <w:rPr>
          <w:rFonts w:ascii="黑体" w:eastAsia="黑体" w:hAnsi="黑体" w:hint="eastAsia"/>
          <w:b/>
          <w:sz w:val="30"/>
        </w:rPr>
        <w:t>十二、关于空表的说明</w:t>
      </w:r>
    </w:p>
    <w:p w14:paraId="719C772C" w14:textId="77777777" w:rsidR="00AE3E76" w:rsidRDefault="00AE3E76">
      <w:pPr>
        <w:spacing w:line="640" w:lineRule="exact"/>
        <w:ind w:firstLine="600"/>
        <w:rPr>
          <w:rFonts w:eastAsia="楷体" w:cs="Times New Roman"/>
          <w:sz w:val="30"/>
          <w:szCs w:val="30"/>
        </w:rPr>
      </w:pPr>
      <w:r>
        <w:rPr>
          <w:rFonts w:eastAsia="楷体" w:cs="Times New Roman"/>
          <w:sz w:val="30"/>
          <w:szCs w:val="30"/>
        </w:rPr>
        <w:t xml:space="preserve">1. </w:t>
      </w:r>
      <w:r>
        <w:rPr>
          <w:rFonts w:eastAsia="楷体" w:cs="Times New Roman" w:hint="eastAsia"/>
          <w:sz w:val="30"/>
          <w:szCs w:val="30"/>
          <w:lang w:val="zh-CN"/>
        </w:rPr>
        <w:t>天津市化学工业学校</w:t>
      </w:r>
      <w:r>
        <w:rPr>
          <w:rFonts w:eastAsia="楷体" w:cs="Times New Roman"/>
          <w:sz w:val="30"/>
          <w:szCs w:val="30"/>
        </w:rPr>
        <w:t>2022</w:t>
      </w:r>
      <w:r>
        <w:rPr>
          <w:rFonts w:eastAsia="楷体" w:cs="Times New Roman" w:hint="eastAsia"/>
          <w:sz w:val="30"/>
          <w:szCs w:val="30"/>
        </w:rPr>
        <w:t>年度政府性基金预算财政拨款收入支出决算表为空表。</w:t>
      </w:r>
    </w:p>
    <w:p w14:paraId="1A94D237" w14:textId="77777777" w:rsidR="00AE3E76" w:rsidRDefault="00AE3E76">
      <w:pPr>
        <w:spacing w:line="640" w:lineRule="exact"/>
        <w:ind w:firstLine="600"/>
        <w:rPr>
          <w:rFonts w:eastAsia="楷体" w:cs="Times New Roman"/>
          <w:sz w:val="30"/>
          <w:szCs w:val="30"/>
        </w:rPr>
      </w:pPr>
      <w:r>
        <w:rPr>
          <w:rFonts w:eastAsia="楷体" w:cs="Times New Roman"/>
          <w:sz w:val="30"/>
          <w:szCs w:val="30"/>
        </w:rPr>
        <w:t xml:space="preserve">2. </w:t>
      </w:r>
      <w:r>
        <w:rPr>
          <w:rFonts w:eastAsia="楷体" w:cs="Times New Roman" w:hint="eastAsia"/>
          <w:sz w:val="30"/>
          <w:szCs w:val="30"/>
          <w:lang w:val="zh-CN"/>
        </w:rPr>
        <w:t>天津市化学工业学校</w:t>
      </w:r>
      <w:r>
        <w:rPr>
          <w:rFonts w:eastAsia="楷体" w:cs="Times New Roman"/>
          <w:sz w:val="30"/>
          <w:szCs w:val="30"/>
        </w:rPr>
        <w:t>2022</w:t>
      </w:r>
      <w:r>
        <w:rPr>
          <w:rFonts w:eastAsia="楷体" w:cs="Times New Roman" w:hint="eastAsia"/>
          <w:sz w:val="30"/>
          <w:szCs w:val="30"/>
        </w:rPr>
        <w:t>年度国有资本经营预算财政拨款收入支出决算表为空表。</w:t>
      </w:r>
    </w:p>
    <w:p w14:paraId="5A514BF0" w14:textId="77777777" w:rsidR="00AE3E76" w:rsidRDefault="000F6D8B" w:rsidP="000F6D8B">
      <w:pPr>
        <w:spacing w:line="640" w:lineRule="exact"/>
        <w:ind w:firstLine="600"/>
        <w:rPr>
          <w:rFonts w:ascii="楷体" w:eastAsia="楷体" w:hAnsi="楷体" w:hint="eastAsia"/>
          <w:sz w:val="30"/>
        </w:rPr>
      </w:pPr>
      <w:r>
        <w:rPr>
          <w:rFonts w:ascii="楷体" w:eastAsia="楷体" w:hAnsi="楷体" w:hint="eastAsia"/>
          <w:sz w:val="30"/>
        </w:rPr>
        <w:t>3.</w:t>
      </w:r>
      <w:r w:rsidRPr="000F6D8B">
        <w:t xml:space="preserve"> </w:t>
      </w:r>
      <w:r>
        <w:rPr>
          <w:rFonts w:eastAsia="楷体" w:cs="Times New Roman" w:hint="eastAsia"/>
          <w:sz w:val="30"/>
          <w:szCs w:val="30"/>
          <w:lang w:val="zh-CN"/>
        </w:rPr>
        <w:t>天津市化学工业学校</w:t>
      </w:r>
      <w:r>
        <w:rPr>
          <w:rFonts w:eastAsia="楷体" w:cs="Times New Roman"/>
          <w:sz w:val="30"/>
          <w:szCs w:val="30"/>
        </w:rPr>
        <w:t>2022</w:t>
      </w:r>
      <w:r>
        <w:rPr>
          <w:rFonts w:eastAsia="楷体" w:cs="Times New Roman" w:hint="eastAsia"/>
          <w:sz w:val="30"/>
          <w:szCs w:val="30"/>
        </w:rPr>
        <w:t>年度</w:t>
      </w:r>
      <w:r w:rsidRPr="000F6D8B">
        <w:rPr>
          <w:rFonts w:ascii="楷体" w:eastAsia="楷体" w:hAnsi="楷体" w:hint="eastAsia"/>
          <w:sz w:val="30"/>
        </w:rPr>
        <w:t>一般公共预算财政拨款“三公”经费支出决算表</w:t>
      </w:r>
      <w:r>
        <w:rPr>
          <w:rFonts w:ascii="楷体" w:eastAsia="楷体" w:hAnsi="楷体" w:hint="eastAsia"/>
          <w:sz w:val="30"/>
        </w:rPr>
        <w:t>为空表。</w:t>
      </w:r>
    </w:p>
    <w:p w14:paraId="7BDB2CB9" w14:textId="77777777" w:rsidR="00AE3E76" w:rsidRDefault="00AE3E76">
      <w:pPr>
        <w:spacing w:line="640" w:lineRule="exact"/>
        <w:ind w:firstLine="600"/>
        <w:rPr>
          <w:rFonts w:ascii="楷体" w:eastAsia="楷体" w:hAnsi="楷体" w:hint="eastAsia"/>
          <w:sz w:val="30"/>
        </w:rPr>
      </w:pPr>
    </w:p>
    <w:p w14:paraId="224F9CAF" w14:textId="77777777" w:rsidR="00AE3E76" w:rsidRDefault="00AE3E76">
      <w:pPr>
        <w:spacing w:line="640" w:lineRule="exact"/>
        <w:ind w:firstLine="600"/>
        <w:rPr>
          <w:rFonts w:ascii="楷体" w:eastAsia="楷体" w:hAnsi="楷体" w:hint="eastAsia"/>
          <w:sz w:val="30"/>
        </w:rPr>
      </w:pPr>
    </w:p>
    <w:p w14:paraId="633AB991" w14:textId="77777777" w:rsidR="00AE3E76" w:rsidRDefault="00AE3E76">
      <w:pPr>
        <w:spacing w:line="640" w:lineRule="exact"/>
        <w:ind w:firstLine="600"/>
        <w:rPr>
          <w:rFonts w:ascii="楷体" w:eastAsia="楷体" w:hAnsi="楷体" w:hint="eastAsia"/>
          <w:sz w:val="30"/>
        </w:rPr>
      </w:pPr>
    </w:p>
    <w:p w14:paraId="5EEDE144" w14:textId="77777777" w:rsidR="00AE3E76" w:rsidRDefault="00AE3E76">
      <w:pPr>
        <w:spacing w:line="640" w:lineRule="exact"/>
        <w:ind w:firstLine="600"/>
        <w:rPr>
          <w:rFonts w:ascii="楷体" w:eastAsia="楷体" w:hAnsi="楷体" w:hint="eastAsia"/>
          <w:sz w:val="30"/>
        </w:rPr>
      </w:pPr>
    </w:p>
    <w:p w14:paraId="66E7D5A0" w14:textId="77777777" w:rsidR="00AE3E76" w:rsidRDefault="00AE3E76">
      <w:pPr>
        <w:spacing w:line="640" w:lineRule="exact"/>
        <w:ind w:firstLine="600"/>
        <w:rPr>
          <w:rFonts w:ascii="楷体" w:eastAsia="楷体" w:hAnsi="楷体" w:hint="eastAsia"/>
          <w:sz w:val="30"/>
        </w:rPr>
      </w:pPr>
    </w:p>
    <w:p w14:paraId="66FB58DA" w14:textId="77777777" w:rsidR="00AE3E76" w:rsidRDefault="00AE3E76">
      <w:pPr>
        <w:spacing w:line="640" w:lineRule="exact"/>
        <w:ind w:firstLine="600"/>
        <w:rPr>
          <w:rFonts w:ascii="楷体" w:eastAsia="楷体" w:hAnsi="楷体" w:hint="eastAsia"/>
          <w:sz w:val="30"/>
        </w:rPr>
      </w:pPr>
    </w:p>
    <w:p w14:paraId="538C9B74" w14:textId="77777777" w:rsidR="00AE3E76" w:rsidRDefault="00AE3E76">
      <w:pPr>
        <w:spacing w:line="640" w:lineRule="exact"/>
        <w:ind w:firstLine="600"/>
        <w:rPr>
          <w:rFonts w:ascii="楷体" w:eastAsia="楷体" w:hAnsi="楷体" w:hint="eastAsia"/>
          <w:sz w:val="30"/>
        </w:rPr>
      </w:pPr>
    </w:p>
    <w:p w14:paraId="54349F6F" w14:textId="77777777" w:rsidR="00AE3E76" w:rsidRDefault="00AE3E76">
      <w:pPr>
        <w:spacing w:line="640" w:lineRule="exact"/>
        <w:ind w:firstLine="600"/>
        <w:rPr>
          <w:rFonts w:ascii="楷体" w:eastAsia="楷体" w:hAnsi="楷体" w:hint="eastAsia"/>
          <w:sz w:val="30"/>
        </w:rPr>
      </w:pPr>
    </w:p>
    <w:p w14:paraId="01D54D8E" w14:textId="77777777" w:rsidR="00AE3E76" w:rsidRDefault="00AE3E76">
      <w:pPr>
        <w:spacing w:line="640" w:lineRule="exact"/>
        <w:ind w:firstLine="600"/>
        <w:rPr>
          <w:rFonts w:ascii="楷体" w:eastAsia="楷体" w:hAnsi="楷体" w:hint="eastAsia"/>
          <w:sz w:val="30"/>
        </w:rPr>
      </w:pPr>
    </w:p>
    <w:p w14:paraId="6F0CE719" w14:textId="77777777" w:rsidR="00AE3E76" w:rsidRDefault="00AE3E76">
      <w:pPr>
        <w:spacing w:line="640" w:lineRule="exact"/>
        <w:ind w:firstLine="600"/>
        <w:rPr>
          <w:rFonts w:ascii="楷体" w:eastAsia="楷体" w:hAnsi="楷体" w:hint="eastAsia"/>
          <w:sz w:val="30"/>
        </w:rPr>
      </w:pPr>
    </w:p>
    <w:p w14:paraId="5D0A91DC" w14:textId="77777777" w:rsidR="00AE3E76" w:rsidRDefault="00AE3E76">
      <w:pPr>
        <w:spacing w:line="640" w:lineRule="exact"/>
        <w:ind w:firstLine="600"/>
        <w:rPr>
          <w:rFonts w:ascii="楷体" w:eastAsia="楷体" w:hAnsi="楷体" w:hint="eastAsia"/>
          <w:sz w:val="30"/>
        </w:rPr>
      </w:pPr>
    </w:p>
    <w:p w14:paraId="798A855A" w14:textId="77777777" w:rsidR="00AE3E76" w:rsidRDefault="00AE3E76">
      <w:pPr>
        <w:pStyle w:val="1"/>
        <w:keepNext/>
        <w:keepLines/>
        <w:spacing w:line="600" w:lineRule="exact"/>
        <w:jc w:val="center"/>
        <w:rPr>
          <w:rFonts w:ascii="方正小标宋简体" w:eastAsia="方正小标宋简体" w:hAnsi="方正小标宋简体" w:hint="eastAsia"/>
          <w:b/>
          <w:kern w:val="44"/>
          <w:sz w:val="44"/>
        </w:rPr>
      </w:pPr>
    </w:p>
    <w:p w14:paraId="522AC521" w14:textId="77777777" w:rsidR="00AE3E76" w:rsidRDefault="00AE3E76">
      <w:pPr>
        <w:pStyle w:val="1"/>
        <w:keepNext/>
        <w:keepLines/>
        <w:spacing w:line="600" w:lineRule="exact"/>
        <w:jc w:val="center"/>
        <w:rPr>
          <w:rFonts w:ascii="方正小标宋简体" w:eastAsia="方正小标宋简体" w:hAnsi="方正小标宋简体" w:hint="eastAsia"/>
          <w:kern w:val="44"/>
          <w:sz w:val="44"/>
        </w:rPr>
      </w:pPr>
      <w:r>
        <w:rPr>
          <w:rFonts w:ascii="方正小标宋简体" w:eastAsia="方正小标宋简体" w:hAnsi="方正小标宋简体" w:hint="eastAsia"/>
          <w:kern w:val="44"/>
          <w:sz w:val="44"/>
        </w:rPr>
        <w:t>第三部分  2022年度部门决算情况说明</w:t>
      </w:r>
    </w:p>
    <w:p w14:paraId="4DD97182" w14:textId="77777777" w:rsidR="00AE3E76" w:rsidRDefault="00AE3E76">
      <w:pPr>
        <w:spacing w:line="580" w:lineRule="exact"/>
        <w:ind w:firstLine="600"/>
        <w:rPr>
          <w:rFonts w:ascii="黑体" w:eastAsia="黑体" w:hAnsi="黑体" w:hint="eastAsia"/>
          <w:kern w:val="2"/>
          <w:sz w:val="30"/>
          <w:lang w:val="zh-CN"/>
        </w:rPr>
      </w:pPr>
    </w:p>
    <w:p w14:paraId="29E45EFF" w14:textId="77777777" w:rsidR="00AE3E76" w:rsidRDefault="00AE3E76">
      <w:pPr>
        <w:pStyle w:val="2"/>
        <w:keepNext/>
        <w:keepLines/>
        <w:spacing w:line="600" w:lineRule="exact"/>
        <w:ind w:firstLine="602"/>
        <w:rPr>
          <w:rFonts w:ascii="黑体" w:eastAsia="黑体" w:hAnsi="黑体" w:hint="eastAsia"/>
          <w:b/>
          <w:sz w:val="30"/>
          <w:lang w:val="zh-CN"/>
        </w:rPr>
      </w:pPr>
      <w:r>
        <w:rPr>
          <w:rFonts w:ascii="黑体" w:eastAsia="黑体" w:hAnsi="黑体" w:hint="eastAsia"/>
          <w:b/>
          <w:sz w:val="30"/>
          <w:lang w:val="zh-CN"/>
        </w:rPr>
        <w:t>一、收入支出决算总体情况说明</w:t>
      </w:r>
    </w:p>
    <w:p w14:paraId="391D1D27"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年度收入、支出决算总计</w:t>
      </w:r>
      <w:r>
        <w:rPr>
          <w:rFonts w:ascii="仿宋_GB2312" w:eastAsia="仿宋_GB2312" w:cs="Times New Roman"/>
          <w:kern w:val="2"/>
          <w:sz w:val="30"/>
          <w:lang w:val="zh-CN"/>
        </w:rPr>
        <w:t>53,350,900.70</w:t>
      </w:r>
      <w:r>
        <w:rPr>
          <w:rFonts w:ascii="仿宋_GB2312" w:eastAsia="仿宋_GB2312" w:cs="Times New Roman" w:hint="eastAsia"/>
          <w:kern w:val="2"/>
          <w:sz w:val="30"/>
          <w:lang w:val="zh-CN"/>
        </w:rPr>
        <w:t>元，与</w:t>
      </w:r>
      <w:r>
        <w:rPr>
          <w:rFonts w:ascii="仿宋_GB2312" w:eastAsia="仿宋_GB2312" w:cs="Times New Roman"/>
          <w:kern w:val="2"/>
          <w:sz w:val="30"/>
          <w:lang w:val="zh-CN"/>
        </w:rPr>
        <w:t>2021</w:t>
      </w:r>
      <w:r>
        <w:rPr>
          <w:rFonts w:ascii="仿宋_GB2312" w:eastAsia="仿宋_GB2312" w:cs="Times New Roman" w:hint="eastAsia"/>
          <w:kern w:val="2"/>
          <w:sz w:val="30"/>
          <w:lang w:val="zh-CN"/>
        </w:rPr>
        <w:t>年度相比，收、支总计各增加</w:t>
      </w:r>
      <w:r>
        <w:rPr>
          <w:rFonts w:ascii="仿宋_GB2312" w:eastAsia="仿宋_GB2312" w:cs="Times New Roman"/>
          <w:kern w:val="2"/>
          <w:sz w:val="30"/>
          <w:lang w:val="zh-CN"/>
        </w:rPr>
        <w:t>6,497,932.54</w:t>
      </w:r>
      <w:r>
        <w:rPr>
          <w:rFonts w:ascii="仿宋_GB2312" w:eastAsia="仿宋_GB2312" w:cs="Times New Roman" w:hint="eastAsia"/>
          <w:kern w:val="2"/>
          <w:sz w:val="30"/>
          <w:lang w:val="zh-CN"/>
        </w:rPr>
        <w:t>元，增长</w:t>
      </w:r>
      <w:r>
        <w:rPr>
          <w:rFonts w:ascii="仿宋_GB2312" w:eastAsia="仿宋_GB2312" w:cs="Times New Roman"/>
          <w:kern w:val="2"/>
          <w:sz w:val="30"/>
          <w:lang w:val="zh-CN"/>
        </w:rPr>
        <w:t>13.87%</w:t>
      </w:r>
      <w:r>
        <w:rPr>
          <w:rFonts w:ascii="仿宋_GB2312" w:eastAsia="仿宋_GB2312" w:cs="Times New Roman" w:hint="eastAsia"/>
          <w:kern w:val="2"/>
          <w:sz w:val="30"/>
          <w:lang w:val="zh-CN"/>
        </w:rPr>
        <w:t>，主要原因是在职人员增加和校舍维修维护费用增加。</w:t>
      </w:r>
    </w:p>
    <w:p w14:paraId="2CF423B5" w14:textId="77777777" w:rsidR="00AE3E76" w:rsidRDefault="00AE3E76">
      <w:pPr>
        <w:pStyle w:val="2"/>
        <w:keepNext/>
        <w:keepLines/>
        <w:spacing w:line="600" w:lineRule="exact"/>
        <w:ind w:firstLine="602"/>
        <w:rPr>
          <w:rFonts w:ascii="黑体" w:eastAsia="黑体" w:hAnsi="黑体" w:hint="eastAsia"/>
          <w:b/>
          <w:sz w:val="30"/>
          <w:lang w:val="zh-CN"/>
        </w:rPr>
      </w:pPr>
      <w:r>
        <w:rPr>
          <w:rFonts w:ascii="黑体" w:eastAsia="黑体" w:hAnsi="黑体" w:hint="eastAsia"/>
          <w:b/>
          <w:sz w:val="30"/>
          <w:lang w:val="zh-CN"/>
        </w:rPr>
        <w:t>二、</w:t>
      </w:r>
      <w:r>
        <w:rPr>
          <w:rFonts w:ascii="黑体" w:eastAsia="黑体" w:hAnsi="黑体" w:hint="eastAsia"/>
          <w:b/>
          <w:sz w:val="30"/>
        </w:rPr>
        <w:t>收入决算情况</w:t>
      </w:r>
      <w:r>
        <w:rPr>
          <w:rFonts w:ascii="黑体" w:eastAsia="黑体" w:hAnsi="黑体" w:hint="eastAsia"/>
          <w:b/>
          <w:sz w:val="30"/>
          <w:lang w:val="zh-CN"/>
        </w:rPr>
        <w:t>说明</w:t>
      </w:r>
    </w:p>
    <w:p w14:paraId="2D0A959F"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年度本年收入合计</w:t>
      </w:r>
      <w:r>
        <w:rPr>
          <w:rFonts w:ascii="仿宋_GB2312" w:eastAsia="仿宋_GB2312" w:cs="Times New Roman"/>
          <w:kern w:val="2"/>
          <w:sz w:val="30"/>
          <w:lang w:val="zh-CN"/>
        </w:rPr>
        <w:t>50,743,696.49</w:t>
      </w:r>
      <w:r>
        <w:rPr>
          <w:rFonts w:ascii="仿宋_GB2312" w:eastAsia="仿宋_GB2312" w:cs="Times New Roman" w:hint="eastAsia"/>
          <w:kern w:val="2"/>
          <w:sz w:val="30"/>
          <w:lang w:val="zh-CN"/>
        </w:rPr>
        <w:t>元，与</w:t>
      </w:r>
      <w:r>
        <w:rPr>
          <w:rFonts w:ascii="仿宋_GB2312" w:eastAsia="仿宋_GB2312" w:cs="Times New Roman"/>
          <w:kern w:val="2"/>
          <w:sz w:val="30"/>
          <w:lang w:val="zh-CN"/>
        </w:rPr>
        <w:t>2021</w:t>
      </w:r>
      <w:r>
        <w:rPr>
          <w:rFonts w:ascii="仿宋_GB2312" w:eastAsia="仿宋_GB2312" w:cs="Times New Roman" w:hint="eastAsia"/>
          <w:kern w:val="2"/>
          <w:sz w:val="30"/>
          <w:lang w:val="zh-CN"/>
        </w:rPr>
        <w:t>年度相比增加</w:t>
      </w:r>
      <w:r>
        <w:rPr>
          <w:rFonts w:ascii="仿宋_GB2312" w:eastAsia="仿宋_GB2312" w:cs="Times New Roman"/>
          <w:kern w:val="2"/>
          <w:sz w:val="30"/>
          <w:lang w:val="zh-CN"/>
        </w:rPr>
        <w:t>3,890,728.33</w:t>
      </w:r>
      <w:r>
        <w:rPr>
          <w:rFonts w:ascii="仿宋_GB2312" w:eastAsia="仿宋_GB2312" w:cs="Times New Roman" w:hint="eastAsia"/>
          <w:kern w:val="2"/>
          <w:sz w:val="30"/>
          <w:lang w:val="zh-CN"/>
        </w:rPr>
        <w:t>元，主要原因是在职人员增加和校舍维修维护费用增加。其中：一般公共预算财政拨款收入</w:t>
      </w:r>
      <w:r>
        <w:rPr>
          <w:rFonts w:ascii="仿宋_GB2312" w:eastAsia="仿宋_GB2312" w:cs="Times New Roman"/>
          <w:kern w:val="2"/>
          <w:sz w:val="30"/>
          <w:lang w:val="zh-CN"/>
        </w:rPr>
        <w:t>48,145,804.75</w:t>
      </w:r>
      <w:r>
        <w:rPr>
          <w:rFonts w:ascii="仿宋_GB2312" w:eastAsia="仿宋_GB2312" w:cs="Times New Roman" w:hint="eastAsia"/>
          <w:kern w:val="2"/>
          <w:sz w:val="30"/>
          <w:lang w:val="zh-CN"/>
        </w:rPr>
        <w:t>元，占</w:t>
      </w:r>
      <w:r>
        <w:rPr>
          <w:rFonts w:ascii="仿宋_GB2312" w:eastAsia="仿宋_GB2312" w:cs="Times New Roman"/>
          <w:kern w:val="2"/>
          <w:sz w:val="30"/>
          <w:lang w:val="zh-CN"/>
        </w:rPr>
        <w:t>94.88%</w:t>
      </w:r>
      <w:r>
        <w:rPr>
          <w:rFonts w:ascii="仿宋_GB2312" w:eastAsia="仿宋_GB2312" w:cs="Times New Roman" w:hint="eastAsia"/>
          <w:kern w:val="2"/>
          <w:sz w:val="30"/>
          <w:lang w:val="zh-CN"/>
        </w:rPr>
        <w:t>；财政专户管理资金收入</w:t>
      </w:r>
      <w:r>
        <w:rPr>
          <w:rFonts w:ascii="仿宋_GB2312" w:eastAsia="仿宋_GB2312" w:cs="Times New Roman"/>
          <w:kern w:val="2"/>
          <w:sz w:val="30"/>
          <w:lang w:val="zh-CN"/>
        </w:rPr>
        <w:t>2,205,200.00</w:t>
      </w:r>
      <w:r>
        <w:rPr>
          <w:rFonts w:ascii="仿宋_GB2312" w:eastAsia="仿宋_GB2312" w:cs="Times New Roman" w:hint="eastAsia"/>
          <w:kern w:val="2"/>
          <w:sz w:val="30"/>
          <w:lang w:val="zh-CN"/>
        </w:rPr>
        <w:t>元，占</w:t>
      </w:r>
      <w:r>
        <w:rPr>
          <w:rFonts w:ascii="仿宋_GB2312" w:eastAsia="仿宋_GB2312" w:cs="Times New Roman"/>
          <w:kern w:val="2"/>
          <w:sz w:val="30"/>
          <w:lang w:val="zh-CN"/>
        </w:rPr>
        <w:t>4.35%</w:t>
      </w:r>
      <w:r>
        <w:rPr>
          <w:rFonts w:ascii="仿宋_GB2312" w:eastAsia="仿宋_GB2312" w:cs="Times New Roman" w:hint="eastAsia"/>
          <w:kern w:val="2"/>
          <w:sz w:val="30"/>
          <w:lang w:val="zh-CN"/>
        </w:rPr>
        <w:t>；其他收入</w:t>
      </w:r>
      <w:r>
        <w:rPr>
          <w:rFonts w:ascii="仿宋_GB2312" w:eastAsia="仿宋_GB2312" w:cs="Times New Roman"/>
          <w:kern w:val="2"/>
          <w:sz w:val="30"/>
          <w:lang w:val="zh-CN"/>
        </w:rPr>
        <w:t>392,691.74</w:t>
      </w:r>
      <w:r>
        <w:rPr>
          <w:rFonts w:ascii="仿宋_GB2312" w:eastAsia="仿宋_GB2312" w:cs="Times New Roman" w:hint="eastAsia"/>
          <w:kern w:val="2"/>
          <w:sz w:val="30"/>
          <w:lang w:val="zh-CN"/>
        </w:rPr>
        <w:t>元，占</w:t>
      </w:r>
      <w:r>
        <w:rPr>
          <w:rFonts w:ascii="仿宋_GB2312" w:eastAsia="仿宋_GB2312" w:cs="Times New Roman"/>
          <w:kern w:val="2"/>
          <w:sz w:val="30"/>
          <w:lang w:val="zh-CN"/>
        </w:rPr>
        <w:t>0.77%</w:t>
      </w:r>
      <w:r>
        <w:rPr>
          <w:rFonts w:ascii="仿宋_GB2312" w:eastAsia="仿宋_GB2312" w:cs="Times New Roman" w:hint="eastAsia"/>
          <w:kern w:val="2"/>
          <w:sz w:val="30"/>
          <w:lang w:val="zh-CN"/>
        </w:rPr>
        <w:t>。</w:t>
      </w:r>
    </w:p>
    <w:p w14:paraId="0A1AB774" w14:textId="77777777" w:rsidR="00AE3E76" w:rsidRDefault="00AE3E76">
      <w:pPr>
        <w:pStyle w:val="2"/>
        <w:keepNext/>
        <w:keepLines/>
        <w:spacing w:line="600" w:lineRule="exact"/>
        <w:ind w:firstLine="602"/>
        <w:rPr>
          <w:rFonts w:ascii="黑体" w:eastAsia="黑体" w:hAnsi="黑体" w:hint="eastAsia"/>
          <w:b/>
          <w:sz w:val="30"/>
        </w:rPr>
      </w:pPr>
      <w:r>
        <w:rPr>
          <w:rFonts w:ascii="黑体" w:eastAsia="黑体" w:hAnsi="黑体" w:hint="eastAsia"/>
          <w:b/>
          <w:sz w:val="30"/>
          <w:lang w:val="zh-CN"/>
        </w:rPr>
        <w:t>三、支出</w:t>
      </w:r>
      <w:r>
        <w:rPr>
          <w:rFonts w:ascii="黑体" w:eastAsia="黑体" w:hAnsi="黑体" w:hint="eastAsia"/>
          <w:b/>
          <w:sz w:val="30"/>
        </w:rPr>
        <w:t>决算情况说明</w:t>
      </w:r>
    </w:p>
    <w:p w14:paraId="3DFC8394"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年度本年支出合计</w:t>
      </w:r>
      <w:r>
        <w:rPr>
          <w:rFonts w:ascii="仿宋_GB2312" w:eastAsia="仿宋_GB2312" w:cs="Times New Roman"/>
          <w:kern w:val="2"/>
          <w:sz w:val="30"/>
          <w:lang w:val="zh-CN"/>
        </w:rPr>
        <w:t>49,920,555.02</w:t>
      </w:r>
      <w:r>
        <w:rPr>
          <w:rFonts w:ascii="仿宋_GB2312" w:eastAsia="仿宋_GB2312" w:cs="Times New Roman" w:hint="eastAsia"/>
          <w:kern w:val="2"/>
          <w:sz w:val="30"/>
          <w:lang w:val="zh-CN"/>
        </w:rPr>
        <w:t>元，与</w:t>
      </w:r>
      <w:r>
        <w:rPr>
          <w:rFonts w:ascii="仿宋_GB2312" w:eastAsia="仿宋_GB2312" w:cs="Times New Roman"/>
          <w:kern w:val="2"/>
          <w:sz w:val="30"/>
          <w:lang w:val="zh-CN"/>
        </w:rPr>
        <w:t>2021</w:t>
      </w:r>
      <w:r>
        <w:rPr>
          <w:rFonts w:ascii="仿宋_GB2312" w:eastAsia="仿宋_GB2312" w:cs="Times New Roman" w:hint="eastAsia"/>
          <w:kern w:val="2"/>
          <w:sz w:val="30"/>
          <w:lang w:val="zh-CN"/>
        </w:rPr>
        <w:t>年度相比增加</w:t>
      </w:r>
      <w:r>
        <w:rPr>
          <w:rFonts w:ascii="仿宋_GB2312" w:eastAsia="仿宋_GB2312" w:cs="Times New Roman"/>
          <w:kern w:val="2"/>
          <w:sz w:val="30"/>
          <w:lang w:val="zh-CN"/>
        </w:rPr>
        <w:t>7,197,240.69</w:t>
      </w:r>
      <w:r>
        <w:rPr>
          <w:rFonts w:ascii="仿宋_GB2312" w:eastAsia="仿宋_GB2312" w:cs="Times New Roman" w:hint="eastAsia"/>
          <w:kern w:val="2"/>
          <w:sz w:val="30"/>
          <w:lang w:val="zh-CN"/>
        </w:rPr>
        <w:t>元，主要原因是在职人员增加和校舍维修维护费用支出等。其中：基本支出</w:t>
      </w:r>
      <w:r>
        <w:rPr>
          <w:rFonts w:ascii="仿宋_GB2312" w:eastAsia="仿宋_GB2312" w:cs="Times New Roman"/>
          <w:kern w:val="2"/>
          <w:sz w:val="30"/>
          <w:lang w:val="zh-CN"/>
        </w:rPr>
        <w:t>44,232,377.17</w:t>
      </w:r>
      <w:r>
        <w:rPr>
          <w:rFonts w:ascii="仿宋_GB2312" w:eastAsia="仿宋_GB2312" w:cs="Times New Roman" w:hint="eastAsia"/>
          <w:kern w:val="2"/>
          <w:sz w:val="30"/>
          <w:lang w:val="zh-CN"/>
        </w:rPr>
        <w:t>元，占</w:t>
      </w:r>
      <w:r>
        <w:rPr>
          <w:rFonts w:ascii="仿宋_GB2312" w:eastAsia="仿宋_GB2312" w:cs="Times New Roman"/>
          <w:kern w:val="2"/>
          <w:sz w:val="30"/>
          <w:lang w:val="zh-CN"/>
        </w:rPr>
        <w:t>88.61%</w:t>
      </w:r>
      <w:r>
        <w:rPr>
          <w:rFonts w:ascii="仿宋_GB2312" w:eastAsia="仿宋_GB2312" w:cs="Times New Roman" w:hint="eastAsia"/>
          <w:kern w:val="2"/>
          <w:sz w:val="30"/>
          <w:lang w:val="zh-CN"/>
        </w:rPr>
        <w:t>；项目支出</w:t>
      </w:r>
      <w:r>
        <w:rPr>
          <w:rFonts w:ascii="仿宋_GB2312" w:eastAsia="仿宋_GB2312" w:cs="Times New Roman"/>
          <w:kern w:val="2"/>
          <w:sz w:val="30"/>
          <w:lang w:val="zh-CN"/>
        </w:rPr>
        <w:t>5,688,177.85</w:t>
      </w:r>
      <w:r>
        <w:rPr>
          <w:rFonts w:ascii="仿宋_GB2312" w:eastAsia="仿宋_GB2312" w:cs="Times New Roman" w:hint="eastAsia"/>
          <w:kern w:val="2"/>
          <w:sz w:val="30"/>
          <w:lang w:val="zh-CN"/>
        </w:rPr>
        <w:t>元，占</w:t>
      </w:r>
      <w:r>
        <w:rPr>
          <w:rFonts w:ascii="仿宋_GB2312" w:eastAsia="仿宋_GB2312" w:cs="Times New Roman"/>
          <w:kern w:val="2"/>
          <w:sz w:val="30"/>
          <w:lang w:val="zh-CN"/>
        </w:rPr>
        <w:t>11.39%</w:t>
      </w:r>
      <w:r>
        <w:rPr>
          <w:rFonts w:ascii="仿宋_GB2312" w:eastAsia="仿宋_GB2312" w:cs="Times New Roman" w:hint="eastAsia"/>
          <w:kern w:val="2"/>
          <w:sz w:val="30"/>
          <w:lang w:val="zh-CN"/>
        </w:rPr>
        <w:t>。</w:t>
      </w:r>
    </w:p>
    <w:p w14:paraId="1B50A593" w14:textId="77777777" w:rsidR="00AE3E76" w:rsidRDefault="00AE3E76">
      <w:pPr>
        <w:pStyle w:val="2"/>
        <w:keepNext/>
        <w:keepLines/>
        <w:spacing w:line="600" w:lineRule="exact"/>
        <w:ind w:firstLine="602"/>
        <w:rPr>
          <w:rFonts w:ascii="黑体" w:eastAsia="黑体" w:hAnsi="黑体" w:hint="eastAsia"/>
          <w:b/>
          <w:sz w:val="30"/>
          <w:lang w:val="zh-CN"/>
        </w:rPr>
      </w:pPr>
      <w:r>
        <w:rPr>
          <w:rFonts w:ascii="黑体" w:eastAsia="黑体" w:hAnsi="黑体" w:hint="eastAsia"/>
          <w:b/>
          <w:sz w:val="30"/>
          <w:lang w:val="zh-CN"/>
        </w:rPr>
        <w:t>四、财政拨款收支决算总体情况说明</w:t>
      </w:r>
    </w:p>
    <w:p w14:paraId="7FECC5F3"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年度财政拨款收入、支出决算总计</w:t>
      </w:r>
      <w:r>
        <w:rPr>
          <w:rFonts w:ascii="仿宋_GB2312" w:eastAsia="仿宋_GB2312" w:cs="Times New Roman"/>
          <w:kern w:val="2"/>
          <w:sz w:val="30"/>
          <w:lang w:val="zh-CN"/>
        </w:rPr>
        <w:lastRenderedPageBreak/>
        <w:t>50,753,008.96</w:t>
      </w:r>
      <w:r>
        <w:rPr>
          <w:rFonts w:ascii="仿宋_GB2312" w:eastAsia="仿宋_GB2312" w:cs="Times New Roman" w:hint="eastAsia"/>
          <w:kern w:val="2"/>
          <w:sz w:val="30"/>
          <w:lang w:val="zh-CN"/>
        </w:rPr>
        <w:t>元，与</w:t>
      </w:r>
      <w:r>
        <w:rPr>
          <w:rFonts w:ascii="仿宋_GB2312" w:eastAsia="仿宋_GB2312" w:cs="Times New Roman"/>
          <w:kern w:val="2"/>
          <w:sz w:val="30"/>
          <w:lang w:val="zh-CN"/>
        </w:rPr>
        <w:t>2021</w:t>
      </w:r>
      <w:r>
        <w:rPr>
          <w:rFonts w:ascii="仿宋_GB2312" w:eastAsia="仿宋_GB2312" w:cs="Times New Roman" w:hint="eastAsia"/>
          <w:kern w:val="2"/>
          <w:sz w:val="30"/>
          <w:lang w:val="zh-CN"/>
        </w:rPr>
        <w:t>年度相比，财政拨款收、支总计各增加</w:t>
      </w:r>
      <w:r>
        <w:rPr>
          <w:rFonts w:ascii="仿宋_GB2312" w:eastAsia="仿宋_GB2312" w:cs="Times New Roman"/>
          <w:kern w:val="2"/>
          <w:sz w:val="30"/>
          <w:lang w:val="zh-CN"/>
        </w:rPr>
        <w:t>6,012,008.96</w:t>
      </w:r>
      <w:r>
        <w:rPr>
          <w:rFonts w:ascii="仿宋_GB2312" w:eastAsia="仿宋_GB2312" w:cs="Times New Roman" w:hint="eastAsia"/>
          <w:kern w:val="2"/>
          <w:sz w:val="30"/>
          <w:lang w:val="zh-CN"/>
        </w:rPr>
        <w:t>元，增长</w:t>
      </w:r>
      <w:r>
        <w:rPr>
          <w:rFonts w:ascii="仿宋_GB2312" w:eastAsia="仿宋_GB2312" w:cs="Times New Roman"/>
          <w:kern w:val="2"/>
          <w:sz w:val="30"/>
          <w:lang w:val="zh-CN"/>
        </w:rPr>
        <w:t>13.44%</w:t>
      </w:r>
      <w:r>
        <w:rPr>
          <w:rFonts w:ascii="仿宋_GB2312" w:eastAsia="仿宋_GB2312" w:cs="Times New Roman" w:hint="eastAsia"/>
          <w:kern w:val="2"/>
          <w:sz w:val="30"/>
          <w:lang w:val="zh-CN"/>
        </w:rPr>
        <w:t>，主要原因是在职人员增加及校舍维修维护费用增加。</w:t>
      </w:r>
    </w:p>
    <w:p w14:paraId="3972FB68" w14:textId="77777777" w:rsidR="00AE3E76" w:rsidRDefault="00AE3E76">
      <w:pPr>
        <w:pStyle w:val="2"/>
        <w:keepNext/>
        <w:keepLines/>
        <w:spacing w:line="600" w:lineRule="exact"/>
        <w:ind w:firstLine="602"/>
        <w:rPr>
          <w:rFonts w:ascii="黑体" w:eastAsia="黑体" w:hAnsi="黑体" w:hint="eastAsia"/>
          <w:b/>
          <w:sz w:val="30"/>
        </w:rPr>
      </w:pPr>
      <w:r>
        <w:rPr>
          <w:rFonts w:ascii="黑体" w:eastAsia="黑体" w:hAnsi="黑体" w:hint="eastAsia"/>
          <w:b/>
          <w:sz w:val="30"/>
        </w:rPr>
        <w:t>五、一般公共预算财政拨款支出决算情况说明</w:t>
      </w:r>
    </w:p>
    <w:p w14:paraId="0B238FA3" w14:textId="77777777" w:rsidR="00AE3E76" w:rsidRDefault="00AE3E76">
      <w:pPr>
        <w:spacing w:line="600" w:lineRule="exact"/>
        <w:ind w:left="480"/>
        <w:rPr>
          <w:rFonts w:ascii="楷体" w:eastAsia="楷体" w:hAnsi="楷体" w:hint="eastAsia"/>
          <w:b/>
          <w:sz w:val="30"/>
        </w:rPr>
      </w:pPr>
      <w:r>
        <w:rPr>
          <w:rFonts w:ascii="楷体" w:eastAsia="楷体" w:hAnsi="楷体" w:hint="eastAsia"/>
          <w:b/>
          <w:sz w:val="30"/>
        </w:rPr>
        <w:t>（一）总体情况</w:t>
      </w:r>
    </w:p>
    <w:p w14:paraId="6E4A254C"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年度部门决算一般公共预算财政拨款支出合计</w:t>
      </w:r>
      <w:r>
        <w:rPr>
          <w:rFonts w:ascii="仿宋_GB2312" w:eastAsia="仿宋_GB2312" w:cs="Times New Roman"/>
          <w:kern w:val="2"/>
          <w:sz w:val="30"/>
          <w:lang w:val="zh-CN"/>
        </w:rPr>
        <w:t>49,379,077.85</w:t>
      </w:r>
      <w:r>
        <w:rPr>
          <w:rFonts w:ascii="仿宋_GB2312" w:eastAsia="仿宋_GB2312" w:cs="Times New Roman" w:hint="eastAsia"/>
          <w:kern w:val="2"/>
          <w:sz w:val="30"/>
          <w:lang w:val="zh-CN"/>
        </w:rPr>
        <w:t>元，占本年支出合计的</w:t>
      </w:r>
      <w:r>
        <w:rPr>
          <w:rFonts w:ascii="仿宋_GB2312" w:eastAsia="仿宋_GB2312" w:cs="Times New Roman"/>
          <w:kern w:val="2"/>
          <w:sz w:val="30"/>
          <w:lang w:val="zh-CN"/>
        </w:rPr>
        <w:t>98.92%</w:t>
      </w:r>
      <w:r>
        <w:rPr>
          <w:rFonts w:ascii="仿宋_GB2312" w:eastAsia="仿宋_GB2312" w:cs="Times New Roman" w:hint="eastAsia"/>
          <w:kern w:val="2"/>
          <w:sz w:val="30"/>
          <w:lang w:val="zh-CN"/>
        </w:rPr>
        <w:t>，与</w:t>
      </w:r>
      <w:r>
        <w:rPr>
          <w:rFonts w:ascii="仿宋_GB2312" w:eastAsia="仿宋_GB2312" w:cs="Times New Roman"/>
          <w:kern w:val="2"/>
          <w:sz w:val="30"/>
          <w:lang w:val="zh-CN"/>
        </w:rPr>
        <w:t>2021</w:t>
      </w:r>
      <w:r>
        <w:rPr>
          <w:rFonts w:ascii="仿宋_GB2312" w:eastAsia="仿宋_GB2312" w:cs="Times New Roman" w:hint="eastAsia"/>
          <w:kern w:val="2"/>
          <w:sz w:val="30"/>
          <w:lang w:val="zh-CN"/>
        </w:rPr>
        <w:t>年度相比，增加</w:t>
      </w:r>
      <w:r>
        <w:rPr>
          <w:rFonts w:ascii="仿宋_GB2312" w:eastAsia="仿宋_GB2312" w:cs="Times New Roman"/>
          <w:kern w:val="2"/>
          <w:sz w:val="30"/>
          <w:lang w:val="zh-CN"/>
        </w:rPr>
        <w:t>7,245,282.06</w:t>
      </w:r>
      <w:r>
        <w:rPr>
          <w:rFonts w:ascii="仿宋_GB2312" w:eastAsia="仿宋_GB2312" w:cs="Times New Roman" w:hint="eastAsia"/>
          <w:kern w:val="2"/>
          <w:sz w:val="30"/>
          <w:lang w:val="zh-CN"/>
        </w:rPr>
        <w:t>元，增长</w:t>
      </w:r>
      <w:r>
        <w:rPr>
          <w:rFonts w:ascii="仿宋_GB2312" w:eastAsia="仿宋_GB2312" w:cs="Times New Roman"/>
          <w:kern w:val="2"/>
          <w:sz w:val="30"/>
          <w:lang w:val="zh-CN"/>
        </w:rPr>
        <w:t>17.20%</w:t>
      </w:r>
      <w:r>
        <w:rPr>
          <w:rFonts w:ascii="仿宋_GB2312" w:eastAsia="仿宋_GB2312" w:cs="Times New Roman" w:hint="eastAsia"/>
          <w:kern w:val="2"/>
          <w:sz w:val="30"/>
          <w:lang w:val="zh-CN"/>
        </w:rPr>
        <w:t>，主要原因是在职人员增加及校舍维修维护费用增加。</w:t>
      </w:r>
    </w:p>
    <w:p w14:paraId="2D85C095" w14:textId="77777777" w:rsidR="00AE3E76" w:rsidRDefault="00AE3E76">
      <w:pPr>
        <w:spacing w:line="600" w:lineRule="exact"/>
        <w:ind w:left="480"/>
        <w:rPr>
          <w:rFonts w:ascii="楷体" w:eastAsia="楷体" w:hAnsi="楷体" w:hint="eastAsia"/>
          <w:b/>
          <w:sz w:val="30"/>
        </w:rPr>
      </w:pPr>
      <w:r>
        <w:rPr>
          <w:rFonts w:ascii="楷体" w:eastAsia="楷体" w:hAnsi="楷体" w:hint="eastAsia"/>
          <w:b/>
          <w:sz w:val="30"/>
        </w:rPr>
        <w:t>（二）</w:t>
      </w:r>
      <w:r>
        <w:rPr>
          <w:rFonts w:ascii="楷体" w:eastAsia="楷体" w:hAnsi="楷体" w:hint="eastAsia"/>
          <w:b/>
          <w:sz w:val="30"/>
          <w:lang w:val="zh-CN"/>
        </w:rPr>
        <w:t>支出结构</w:t>
      </w:r>
      <w:r>
        <w:rPr>
          <w:rFonts w:ascii="楷体" w:eastAsia="楷体" w:hAnsi="楷体" w:hint="eastAsia"/>
          <w:b/>
          <w:sz w:val="30"/>
        </w:rPr>
        <w:t>情况</w:t>
      </w:r>
    </w:p>
    <w:p w14:paraId="7F39E439"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kern w:val="2"/>
          <w:sz w:val="30"/>
          <w:lang w:val="zh-CN"/>
        </w:rPr>
        <w:t>2022</w:t>
      </w:r>
      <w:r>
        <w:rPr>
          <w:rFonts w:ascii="仿宋_GB2312" w:eastAsia="仿宋_GB2312" w:cs="Times New Roman" w:hint="eastAsia"/>
          <w:kern w:val="2"/>
          <w:sz w:val="30"/>
          <w:lang w:val="zh-CN"/>
        </w:rPr>
        <w:t>年度一般公共预算财政拨款支出</w:t>
      </w:r>
      <w:r>
        <w:rPr>
          <w:rFonts w:ascii="仿宋_GB2312" w:eastAsia="仿宋_GB2312" w:cs="Times New Roman"/>
          <w:kern w:val="2"/>
          <w:sz w:val="30"/>
          <w:lang w:val="zh-CN"/>
        </w:rPr>
        <w:t>49,379,077.85</w:t>
      </w:r>
      <w:r>
        <w:rPr>
          <w:rFonts w:ascii="仿宋_GB2312" w:eastAsia="仿宋_GB2312" w:cs="Times New Roman" w:hint="eastAsia"/>
          <w:kern w:val="2"/>
          <w:sz w:val="30"/>
          <w:lang w:val="zh-CN"/>
        </w:rPr>
        <w:t>元，主要用于以下方面：教育支出</w:t>
      </w:r>
      <w:r>
        <w:rPr>
          <w:rFonts w:ascii="仿宋_GB2312" w:eastAsia="仿宋_GB2312" w:cs="Times New Roman"/>
          <w:kern w:val="2"/>
          <w:sz w:val="30"/>
          <w:lang w:val="zh-CN"/>
        </w:rPr>
        <w:t>46,409,177.85</w:t>
      </w:r>
      <w:r>
        <w:rPr>
          <w:rFonts w:ascii="仿宋_GB2312" w:eastAsia="仿宋_GB2312" w:cs="Times New Roman" w:hint="eastAsia"/>
          <w:kern w:val="2"/>
          <w:sz w:val="30"/>
          <w:lang w:val="zh-CN"/>
        </w:rPr>
        <w:t>元，占</w:t>
      </w:r>
      <w:r>
        <w:rPr>
          <w:rFonts w:ascii="仿宋_GB2312" w:eastAsia="仿宋_GB2312" w:cs="Times New Roman"/>
          <w:kern w:val="2"/>
          <w:sz w:val="30"/>
          <w:lang w:val="zh-CN"/>
        </w:rPr>
        <w:t>93.99%</w:t>
      </w:r>
      <w:r>
        <w:rPr>
          <w:rFonts w:ascii="仿宋_GB2312" w:eastAsia="仿宋_GB2312" w:cs="Times New Roman" w:hint="eastAsia"/>
          <w:kern w:val="2"/>
          <w:sz w:val="30"/>
          <w:lang w:val="zh-CN"/>
        </w:rPr>
        <w:t>；社会保障和就业支出</w:t>
      </w:r>
      <w:r>
        <w:rPr>
          <w:rFonts w:ascii="仿宋_GB2312" w:eastAsia="仿宋_GB2312" w:cs="Times New Roman"/>
          <w:kern w:val="2"/>
          <w:sz w:val="30"/>
          <w:lang w:val="zh-CN"/>
        </w:rPr>
        <w:t>2,677,000.00</w:t>
      </w:r>
      <w:r>
        <w:rPr>
          <w:rFonts w:ascii="仿宋_GB2312" w:eastAsia="仿宋_GB2312" w:cs="Times New Roman" w:hint="eastAsia"/>
          <w:kern w:val="2"/>
          <w:sz w:val="30"/>
          <w:lang w:val="zh-CN"/>
        </w:rPr>
        <w:t>元，占</w:t>
      </w:r>
      <w:r>
        <w:rPr>
          <w:rFonts w:ascii="仿宋_GB2312" w:eastAsia="仿宋_GB2312" w:cs="Times New Roman"/>
          <w:kern w:val="2"/>
          <w:sz w:val="30"/>
          <w:lang w:val="zh-CN"/>
        </w:rPr>
        <w:t>5.42%</w:t>
      </w:r>
      <w:r>
        <w:rPr>
          <w:rFonts w:ascii="仿宋_GB2312" w:eastAsia="仿宋_GB2312" w:cs="Times New Roman" w:hint="eastAsia"/>
          <w:kern w:val="2"/>
          <w:sz w:val="30"/>
          <w:lang w:val="zh-CN"/>
        </w:rPr>
        <w:t>；卫生健康支出</w:t>
      </w:r>
      <w:r>
        <w:rPr>
          <w:rFonts w:ascii="仿宋_GB2312" w:eastAsia="仿宋_GB2312" w:cs="Times New Roman"/>
          <w:kern w:val="2"/>
          <w:sz w:val="30"/>
          <w:lang w:val="zh-CN"/>
        </w:rPr>
        <w:t>292,900.00</w:t>
      </w:r>
      <w:r>
        <w:rPr>
          <w:rFonts w:ascii="仿宋_GB2312" w:eastAsia="仿宋_GB2312" w:cs="Times New Roman" w:hint="eastAsia"/>
          <w:kern w:val="2"/>
          <w:sz w:val="30"/>
          <w:lang w:val="zh-CN"/>
        </w:rPr>
        <w:t>元，占</w:t>
      </w:r>
      <w:r>
        <w:rPr>
          <w:rFonts w:ascii="仿宋_GB2312" w:eastAsia="仿宋_GB2312" w:cs="Times New Roman"/>
          <w:kern w:val="2"/>
          <w:sz w:val="30"/>
          <w:lang w:val="zh-CN"/>
        </w:rPr>
        <w:t>0.59%</w:t>
      </w:r>
      <w:r>
        <w:rPr>
          <w:rFonts w:ascii="仿宋_GB2312" w:eastAsia="仿宋_GB2312" w:cs="Times New Roman" w:hint="eastAsia"/>
          <w:kern w:val="2"/>
          <w:sz w:val="30"/>
          <w:lang w:val="zh-CN"/>
        </w:rPr>
        <w:t>；</w:t>
      </w:r>
    </w:p>
    <w:p w14:paraId="6AF56593" w14:textId="77777777" w:rsidR="00AE3E76" w:rsidRDefault="00AE3E76">
      <w:pPr>
        <w:spacing w:line="600" w:lineRule="exact"/>
        <w:ind w:left="480"/>
        <w:rPr>
          <w:rFonts w:ascii="楷体" w:eastAsia="楷体" w:hAnsi="楷体" w:hint="eastAsia"/>
          <w:b/>
          <w:sz w:val="30"/>
        </w:rPr>
      </w:pPr>
      <w:r>
        <w:rPr>
          <w:rFonts w:ascii="楷体" w:eastAsia="楷体" w:hAnsi="楷体" w:hint="eastAsia"/>
          <w:b/>
          <w:sz w:val="30"/>
        </w:rPr>
        <w:t>（三）具体情况</w:t>
      </w:r>
    </w:p>
    <w:p w14:paraId="6346B6CE" w14:textId="77777777" w:rsidR="00AE3E76" w:rsidRPr="00925405" w:rsidRDefault="00AE3E76">
      <w:pPr>
        <w:spacing w:line="600" w:lineRule="exact"/>
        <w:ind w:firstLine="600"/>
        <w:rPr>
          <w:rFonts w:ascii="仿宋_GB2312" w:eastAsia="仿宋_GB2312" w:cs="Times New Roman"/>
          <w:color w:val="000000" w:themeColor="text1"/>
          <w:kern w:val="2"/>
          <w:sz w:val="30"/>
          <w:lang w:val="zh-CN"/>
        </w:rPr>
      </w:pPr>
      <w:r w:rsidRPr="00925405">
        <w:rPr>
          <w:rFonts w:ascii="仿宋_GB2312" w:eastAsia="仿宋_GB2312" w:cs="Times New Roman"/>
          <w:color w:val="000000" w:themeColor="text1"/>
          <w:kern w:val="2"/>
          <w:sz w:val="30"/>
          <w:lang w:val="zh-CN"/>
        </w:rPr>
        <w:t>2022</w:t>
      </w:r>
      <w:r w:rsidRPr="00925405">
        <w:rPr>
          <w:rFonts w:ascii="仿宋_GB2312" w:eastAsia="仿宋_GB2312" w:cs="Times New Roman" w:hint="eastAsia"/>
          <w:color w:val="000000" w:themeColor="text1"/>
          <w:kern w:val="2"/>
          <w:sz w:val="30"/>
          <w:lang w:val="zh-CN"/>
        </w:rPr>
        <w:t>年度一般公共预算财政拨款支出年初预算为</w:t>
      </w:r>
      <w:r w:rsidRPr="00925405">
        <w:rPr>
          <w:rFonts w:ascii="仿宋_GB2312" w:eastAsia="仿宋_GB2312" w:cs="Times New Roman"/>
          <w:color w:val="000000" w:themeColor="text1"/>
          <w:kern w:val="2"/>
          <w:sz w:val="30"/>
          <w:lang w:val="zh-CN"/>
        </w:rPr>
        <w:t>48,776,700.00</w:t>
      </w:r>
      <w:r w:rsidRPr="00925405">
        <w:rPr>
          <w:rFonts w:ascii="仿宋_GB2312" w:eastAsia="仿宋_GB2312" w:cs="Times New Roman" w:hint="eastAsia"/>
          <w:color w:val="000000" w:themeColor="text1"/>
          <w:kern w:val="2"/>
          <w:sz w:val="30"/>
          <w:lang w:val="zh-CN"/>
        </w:rPr>
        <w:t>元，支出决算为</w:t>
      </w:r>
      <w:r w:rsidRPr="00925405">
        <w:rPr>
          <w:rFonts w:ascii="仿宋_GB2312" w:eastAsia="仿宋_GB2312" w:cs="Times New Roman"/>
          <w:color w:val="000000" w:themeColor="text1"/>
          <w:kern w:val="2"/>
          <w:sz w:val="30"/>
          <w:lang w:val="zh-CN"/>
        </w:rPr>
        <w:t>49,379,077.85</w:t>
      </w:r>
      <w:r w:rsidRPr="00925405">
        <w:rPr>
          <w:rFonts w:ascii="仿宋_GB2312" w:eastAsia="仿宋_GB2312" w:cs="Times New Roman" w:hint="eastAsia"/>
          <w:color w:val="000000" w:themeColor="text1"/>
          <w:kern w:val="2"/>
          <w:sz w:val="30"/>
          <w:lang w:val="zh-CN"/>
        </w:rPr>
        <w:t>元，完成年初预算的</w:t>
      </w:r>
      <w:r w:rsidRPr="00925405">
        <w:rPr>
          <w:rFonts w:ascii="仿宋_GB2312" w:eastAsia="仿宋_GB2312" w:cs="Times New Roman"/>
          <w:color w:val="000000" w:themeColor="text1"/>
          <w:kern w:val="2"/>
          <w:sz w:val="30"/>
          <w:lang w:val="zh-CN"/>
        </w:rPr>
        <w:t>101.23%</w:t>
      </w:r>
      <w:r w:rsidRPr="00925405">
        <w:rPr>
          <w:rFonts w:ascii="仿宋_GB2312" w:eastAsia="仿宋_GB2312" w:cs="Times New Roman" w:hint="eastAsia"/>
          <w:color w:val="000000" w:themeColor="text1"/>
          <w:kern w:val="2"/>
          <w:sz w:val="30"/>
          <w:lang w:val="zh-CN"/>
        </w:rPr>
        <w:t>。其中：</w:t>
      </w:r>
    </w:p>
    <w:p w14:paraId="2ADFE729" w14:textId="77777777" w:rsidR="00AE3E76" w:rsidRPr="00925405" w:rsidRDefault="00AE3E76">
      <w:pPr>
        <w:spacing w:line="600" w:lineRule="exact"/>
        <w:ind w:firstLine="600"/>
        <w:rPr>
          <w:rFonts w:ascii="仿宋_GB2312" w:eastAsia="仿宋_GB2312" w:cs="Times New Roman"/>
          <w:color w:val="000000" w:themeColor="text1"/>
          <w:kern w:val="2"/>
          <w:sz w:val="30"/>
          <w:lang w:val="zh-CN"/>
        </w:rPr>
      </w:pPr>
      <w:r w:rsidRPr="00925405">
        <w:rPr>
          <w:rFonts w:ascii="仿宋_GB2312" w:eastAsia="仿宋_GB2312" w:cs="Times New Roman"/>
          <w:color w:val="000000" w:themeColor="text1"/>
          <w:kern w:val="2"/>
          <w:sz w:val="30"/>
          <w:lang w:val="zh-CN"/>
        </w:rPr>
        <w:t xml:space="preserve">1. </w:t>
      </w:r>
      <w:r w:rsidRPr="00925405">
        <w:rPr>
          <w:rFonts w:ascii="仿宋_GB2312" w:eastAsia="仿宋_GB2312" w:cs="Times New Roman" w:hint="eastAsia"/>
          <w:color w:val="000000" w:themeColor="text1"/>
          <w:kern w:val="2"/>
          <w:sz w:val="30"/>
          <w:lang w:val="zh-CN"/>
        </w:rPr>
        <w:t>社会保障和就业支出（类）行政事业单位养老支出（款）机关事业单位基本养老保险缴费支出（项）年初预算为</w:t>
      </w:r>
      <w:r w:rsidRPr="00925405">
        <w:rPr>
          <w:rFonts w:ascii="仿宋_GB2312" w:eastAsia="仿宋_GB2312" w:cs="Times New Roman"/>
          <w:color w:val="000000" w:themeColor="text1"/>
          <w:kern w:val="2"/>
          <w:sz w:val="30"/>
          <w:lang w:val="zh-CN"/>
        </w:rPr>
        <w:t>1,785,000.00</w:t>
      </w:r>
      <w:r w:rsidRPr="00925405">
        <w:rPr>
          <w:rFonts w:ascii="仿宋_GB2312" w:eastAsia="仿宋_GB2312" w:cs="Times New Roman" w:hint="eastAsia"/>
          <w:color w:val="000000" w:themeColor="text1"/>
          <w:kern w:val="2"/>
          <w:sz w:val="30"/>
          <w:lang w:val="zh-CN"/>
        </w:rPr>
        <w:t>元，支出决算为</w:t>
      </w:r>
      <w:r w:rsidRPr="00925405">
        <w:rPr>
          <w:rFonts w:ascii="仿宋_GB2312" w:eastAsia="仿宋_GB2312" w:cs="Times New Roman"/>
          <w:color w:val="000000" w:themeColor="text1"/>
          <w:kern w:val="2"/>
          <w:sz w:val="30"/>
          <w:lang w:val="zh-CN"/>
        </w:rPr>
        <w:t>1,785,000.00</w:t>
      </w:r>
      <w:r w:rsidRPr="00925405">
        <w:rPr>
          <w:rFonts w:ascii="仿宋_GB2312" w:eastAsia="仿宋_GB2312" w:cs="Times New Roman" w:hint="eastAsia"/>
          <w:color w:val="000000" w:themeColor="text1"/>
          <w:kern w:val="2"/>
          <w:sz w:val="30"/>
          <w:lang w:val="zh-CN"/>
        </w:rPr>
        <w:t>元，完成年初预算的</w:t>
      </w:r>
      <w:r w:rsidRPr="00925405">
        <w:rPr>
          <w:rFonts w:ascii="仿宋_GB2312" w:eastAsia="仿宋_GB2312" w:cs="Times New Roman"/>
          <w:color w:val="000000" w:themeColor="text1"/>
          <w:kern w:val="2"/>
          <w:sz w:val="30"/>
          <w:lang w:val="zh-CN"/>
        </w:rPr>
        <w:lastRenderedPageBreak/>
        <w:t>100</w:t>
      </w:r>
      <w:r w:rsidRPr="00925405">
        <w:rPr>
          <w:rFonts w:ascii="仿宋_GB2312" w:eastAsia="仿宋_GB2312" w:cs="Times New Roman"/>
          <w:color w:val="000000" w:themeColor="text1"/>
          <w:kern w:val="2"/>
          <w:sz w:val="30"/>
        </w:rPr>
        <w:t>.00</w:t>
      </w:r>
      <w:r w:rsidRPr="00925405">
        <w:rPr>
          <w:rFonts w:ascii="仿宋_GB2312" w:eastAsia="仿宋_GB2312" w:cs="Times New Roman"/>
          <w:color w:val="000000" w:themeColor="text1"/>
          <w:kern w:val="2"/>
          <w:sz w:val="30"/>
          <w:lang w:val="zh-CN"/>
        </w:rPr>
        <w:t>%</w:t>
      </w:r>
      <w:r w:rsidRPr="00925405">
        <w:rPr>
          <w:rFonts w:ascii="仿宋_GB2312" w:eastAsia="仿宋_GB2312" w:cs="Times New Roman" w:hint="eastAsia"/>
          <w:color w:val="000000" w:themeColor="text1"/>
          <w:kern w:val="2"/>
          <w:sz w:val="30"/>
          <w:lang w:val="zh-CN"/>
        </w:rPr>
        <w:t>。</w:t>
      </w:r>
    </w:p>
    <w:p w14:paraId="6AB3E011" w14:textId="77777777" w:rsidR="00AE3E76" w:rsidRPr="00925405" w:rsidRDefault="00AE3E76">
      <w:pPr>
        <w:spacing w:line="600" w:lineRule="exact"/>
        <w:ind w:firstLine="600"/>
        <w:rPr>
          <w:rFonts w:ascii="仿宋_GB2312" w:eastAsia="仿宋_GB2312" w:cs="Times New Roman"/>
          <w:color w:val="000000" w:themeColor="text1"/>
          <w:kern w:val="2"/>
          <w:sz w:val="30"/>
          <w:lang w:val="zh-CN"/>
        </w:rPr>
      </w:pPr>
      <w:r w:rsidRPr="00925405">
        <w:rPr>
          <w:rFonts w:ascii="仿宋_GB2312" w:eastAsia="仿宋_GB2312" w:cs="Times New Roman"/>
          <w:color w:val="000000" w:themeColor="text1"/>
          <w:kern w:val="2"/>
          <w:sz w:val="30"/>
          <w:lang w:val="zh-CN"/>
        </w:rPr>
        <w:t xml:space="preserve">2. </w:t>
      </w:r>
      <w:r w:rsidRPr="00925405">
        <w:rPr>
          <w:rFonts w:ascii="仿宋_GB2312" w:eastAsia="仿宋_GB2312" w:cs="Times New Roman" w:hint="eastAsia"/>
          <w:color w:val="000000" w:themeColor="text1"/>
          <w:kern w:val="2"/>
          <w:sz w:val="30"/>
          <w:lang w:val="zh-CN"/>
        </w:rPr>
        <w:t>社会保障和就业支出（类）行政事业单位养老支出（款）机关事业单位职业年金缴费支出（项）年初预算为</w:t>
      </w:r>
      <w:r w:rsidRPr="00925405">
        <w:rPr>
          <w:rFonts w:ascii="仿宋_GB2312" w:eastAsia="仿宋_GB2312" w:cs="Times New Roman"/>
          <w:color w:val="000000" w:themeColor="text1"/>
          <w:kern w:val="2"/>
          <w:sz w:val="30"/>
          <w:lang w:val="zh-CN"/>
        </w:rPr>
        <w:t>892,000.00</w:t>
      </w:r>
      <w:r w:rsidRPr="00925405">
        <w:rPr>
          <w:rFonts w:ascii="仿宋_GB2312" w:eastAsia="仿宋_GB2312" w:cs="Times New Roman" w:hint="eastAsia"/>
          <w:color w:val="000000" w:themeColor="text1"/>
          <w:kern w:val="2"/>
          <w:sz w:val="30"/>
          <w:lang w:val="zh-CN"/>
        </w:rPr>
        <w:t>元，支出决算为</w:t>
      </w:r>
      <w:r w:rsidRPr="00925405">
        <w:rPr>
          <w:rFonts w:ascii="仿宋_GB2312" w:eastAsia="仿宋_GB2312" w:cs="Times New Roman"/>
          <w:color w:val="000000" w:themeColor="text1"/>
          <w:kern w:val="2"/>
          <w:sz w:val="30"/>
          <w:lang w:val="zh-CN"/>
        </w:rPr>
        <w:t>892,000.00</w:t>
      </w:r>
      <w:r w:rsidRPr="00925405">
        <w:rPr>
          <w:rFonts w:ascii="仿宋_GB2312" w:eastAsia="仿宋_GB2312" w:cs="Times New Roman" w:hint="eastAsia"/>
          <w:color w:val="000000" w:themeColor="text1"/>
          <w:kern w:val="2"/>
          <w:sz w:val="30"/>
          <w:lang w:val="zh-CN"/>
        </w:rPr>
        <w:t>元，完成年初预算的</w:t>
      </w:r>
      <w:r w:rsidRPr="00925405">
        <w:rPr>
          <w:rFonts w:ascii="仿宋_GB2312" w:eastAsia="仿宋_GB2312" w:cs="Times New Roman"/>
          <w:color w:val="000000" w:themeColor="text1"/>
          <w:kern w:val="2"/>
          <w:sz w:val="30"/>
          <w:lang w:val="zh-CN"/>
        </w:rPr>
        <w:t>100</w:t>
      </w:r>
      <w:r w:rsidRPr="00925405">
        <w:rPr>
          <w:rFonts w:ascii="仿宋_GB2312" w:eastAsia="仿宋_GB2312" w:cs="Times New Roman"/>
          <w:color w:val="000000" w:themeColor="text1"/>
          <w:kern w:val="2"/>
          <w:sz w:val="30"/>
        </w:rPr>
        <w:t>.00</w:t>
      </w:r>
      <w:r w:rsidRPr="00925405">
        <w:rPr>
          <w:rFonts w:ascii="仿宋_GB2312" w:eastAsia="仿宋_GB2312" w:cs="Times New Roman"/>
          <w:color w:val="000000" w:themeColor="text1"/>
          <w:kern w:val="2"/>
          <w:sz w:val="30"/>
          <w:lang w:val="zh-CN"/>
        </w:rPr>
        <w:t>%</w:t>
      </w:r>
      <w:r w:rsidRPr="00925405">
        <w:rPr>
          <w:rFonts w:ascii="仿宋_GB2312" w:eastAsia="仿宋_GB2312" w:cs="Times New Roman" w:hint="eastAsia"/>
          <w:color w:val="000000" w:themeColor="text1"/>
          <w:kern w:val="2"/>
          <w:sz w:val="30"/>
          <w:lang w:val="zh-CN"/>
        </w:rPr>
        <w:t>。</w:t>
      </w:r>
    </w:p>
    <w:p w14:paraId="11A7D3A8" w14:textId="77777777" w:rsidR="00AE3E76" w:rsidRPr="00925405" w:rsidRDefault="00AE3E76">
      <w:pPr>
        <w:spacing w:line="600" w:lineRule="exact"/>
        <w:ind w:firstLine="600"/>
        <w:rPr>
          <w:rFonts w:ascii="仿宋_GB2312" w:eastAsia="仿宋_GB2312" w:cs="Times New Roman"/>
          <w:color w:val="000000" w:themeColor="text1"/>
          <w:kern w:val="2"/>
          <w:sz w:val="30"/>
          <w:lang w:val="zh-CN"/>
        </w:rPr>
      </w:pPr>
      <w:r w:rsidRPr="00925405">
        <w:rPr>
          <w:rFonts w:ascii="仿宋_GB2312" w:eastAsia="仿宋_GB2312" w:cs="Times New Roman"/>
          <w:color w:val="000000" w:themeColor="text1"/>
          <w:kern w:val="2"/>
          <w:sz w:val="30"/>
          <w:lang w:val="zh-CN"/>
        </w:rPr>
        <w:t xml:space="preserve">3. </w:t>
      </w:r>
      <w:r w:rsidRPr="00925405">
        <w:rPr>
          <w:rFonts w:ascii="仿宋_GB2312" w:eastAsia="仿宋_GB2312" w:cs="Times New Roman" w:hint="eastAsia"/>
          <w:color w:val="000000" w:themeColor="text1"/>
          <w:kern w:val="2"/>
          <w:sz w:val="30"/>
          <w:lang w:val="zh-CN"/>
        </w:rPr>
        <w:t>卫生健康支出（类）行政事业单位医疗（款）其他行政事业单位医疗支出（项）年初预算为</w:t>
      </w:r>
      <w:r w:rsidRPr="00925405">
        <w:rPr>
          <w:rFonts w:ascii="仿宋_GB2312" w:eastAsia="仿宋_GB2312" w:cs="Times New Roman"/>
          <w:color w:val="000000" w:themeColor="text1"/>
          <w:kern w:val="2"/>
          <w:sz w:val="30"/>
          <w:lang w:val="zh-CN"/>
        </w:rPr>
        <w:t>381,000.00</w:t>
      </w:r>
      <w:r w:rsidRPr="00925405">
        <w:rPr>
          <w:rFonts w:ascii="仿宋_GB2312" w:eastAsia="仿宋_GB2312" w:cs="Times New Roman" w:hint="eastAsia"/>
          <w:color w:val="000000" w:themeColor="text1"/>
          <w:kern w:val="2"/>
          <w:sz w:val="30"/>
          <w:lang w:val="zh-CN"/>
        </w:rPr>
        <w:t>元，支出决算为</w:t>
      </w:r>
      <w:r w:rsidRPr="00925405">
        <w:rPr>
          <w:rFonts w:ascii="仿宋_GB2312" w:eastAsia="仿宋_GB2312" w:cs="Times New Roman"/>
          <w:color w:val="000000" w:themeColor="text1"/>
          <w:kern w:val="2"/>
          <w:sz w:val="30"/>
          <w:lang w:val="zh-CN"/>
        </w:rPr>
        <w:t>292,900.00</w:t>
      </w:r>
      <w:r w:rsidRPr="00925405">
        <w:rPr>
          <w:rFonts w:ascii="仿宋_GB2312" w:eastAsia="仿宋_GB2312" w:cs="Times New Roman" w:hint="eastAsia"/>
          <w:color w:val="000000" w:themeColor="text1"/>
          <w:kern w:val="2"/>
          <w:sz w:val="30"/>
          <w:lang w:val="zh-CN"/>
        </w:rPr>
        <w:t>元，完成年初预算的</w:t>
      </w:r>
      <w:r w:rsidRPr="00925405">
        <w:rPr>
          <w:rFonts w:ascii="仿宋_GB2312" w:eastAsia="仿宋_GB2312" w:cs="Times New Roman"/>
          <w:color w:val="000000" w:themeColor="text1"/>
          <w:kern w:val="2"/>
          <w:sz w:val="30"/>
          <w:lang w:val="zh-CN"/>
        </w:rPr>
        <w:t>76.88%</w:t>
      </w:r>
      <w:r w:rsidRPr="00925405">
        <w:rPr>
          <w:rFonts w:ascii="仿宋_GB2312" w:eastAsia="仿宋_GB2312" w:cs="Times New Roman" w:hint="eastAsia"/>
          <w:color w:val="000000" w:themeColor="text1"/>
          <w:kern w:val="2"/>
          <w:sz w:val="30"/>
          <w:lang w:val="zh-CN"/>
        </w:rPr>
        <w:t>，决算数小于年初预算数的主要原因是事业单位实际医疗支出少于预算。</w:t>
      </w:r>
    </w:p>
    <w:p w14:paraId="6E6F8196" w14:textId="77777777" w:rsidR="00AE3E76" w:rsidRPr="00925405" w:rsidRDefault="00AE3E76">
      <w:pPr>
        <w:spacing w:line="600" w:lineRule="exact"/>
        <w:ind w:firstLine="600"/>
        <w:rPr>
          <w:rFonts w:ascii="仿宋_GB2312" w:eastAsia="仿宋_GB2312" w:cs="Times New Roman"/>
          <w:color w:val="000000" w:themeColor="text1"/>
          <w:kern w:val="2"/>
          <w:sz w:val="30"/>
          <w:lang w:val="zh-CN"/>
        </w:rPr>
      </w:pPr>
      <w:r w:rsidRPr="00925405">
        <w:rPr>
          <w:rFonts w:ascii="仿宋_GB2312" w:eastAsia="仿宋_GB2312" w:cs="Times New Roman"/>
          <w:color w:val="000000" w:themeColor="text1"/>
          <w:kern w:val="2"/>
          <w:sz w:val="30"/>
          <w:lang w:val="zh-CN"/>
        </w:rPr>
        <w:t>4.205</w:t>
      </w:r>
      <w:r w:rsidRPr="00925405">
        <w:rPr>
          <w:rFonts w:ascii="仿宋_GB2312" w:eastAsia="仿宋_GB2312" w:cs="Times New Roman" w:hint="eastAsia"/>
          <w:color w:val="000000" w:themeColor="text1"/>
          <w:kern w:val="2"/>
          <w:sz w:val="30"/>
          <w:lang w:val="zh-CN"/>
        </w:rPr>
        <w:t>（类）</w:t>
      </w:r>
      <w:r w:rsidRPr="00925405">
        <w:rPr>
          <w:rFonts w:ascii="仿宋_GB2312" w:eastAsia="仿宋_GB2312" w:cs="Times New Roman"/>
          <w:color w:val="000000" w:themeColor="text1"/>
          <w:kern w:val="2"/>
          <w:sz w:val="30"/>
          <w:lang w:val="zh-CN"/>
        </w:rPr>
        <w:t>03</w:t>
      </w:r>
      <w:r w:rsidRPr="00925405">
        <w:rPr>
          <w:rFonts w:ascii="仿宋_GB2312" w:eastAsia="仿宋_GB2312" w:cs="Times New Roman" w:hint="eastAsia"/>
          <w:color w:val="000000" w:themeColor="text1"/>
          <w:kern w:val="2"/>
          <w:sz w:val="30"/>
          <w:lang w:val="zh-CN"/>
        </w:rPr>
        <w:t>（款）</w:t>
      </w:r>
      <w:r w:rsidRPr="00925405">
        <w:rPr>
          <w:rFonts w:ascii="仿宋_GB2312" w:eastAsia="仿宋_GB2312" w:cs="Times New Roman"/>
          <w:color w:val="000000" w:themeColor="text1"/>
          <w:kern w:val="2"/>
          <w:sz w:val="30"/>
          <w:lang w:val="zh-CN"/>
        </w:rPr>
        <w:t>02</w:t>
      </w:r>
      <w:r w:rsidRPr="00925405">
        <w:rPr>
          <w:rFonts w:ascii="仿宋_GB2312" w:eastAsia="仿宋_GB2312" w:cs="Times New Roman" w:hint="eastAsia"/>
          <w:color w:val="000000" w:themeColor="text1"/>
          <w:kern w:val="2"/>
          <w:sz w:val="30"/>
          <w:lang w:val="zh-CN"/>
        </w:rPr>
        <w:t>（项）年初基本预算为</w:t>
      </w:r>
      <w:r w:rsidRPr="00925405">
        <w:rPr>
          <w:rFonts w:ascii="仿宋_GB2312" w:eastAsia="仿宋_GB2312" w:cs="Times New Roman"/>
          <w:color w:val="000000" w:themeColor="text1"/>
          <w:kern w:val="2"/>
          <w:sz w:val="30"/>
          <w:lang w:val="zh-CN"/>
        </w:rPr>
        <w:t>40,721,000</w:t>
      </w:r>
      <w:r w:rsidRPr="00925405">
        <w:rPr>
          <w:rFonts w:ascii="仿宋_GB2312" w:eastAsia="仿宋_GB2312" w:cs="Times New Roman"/>
          <w:color w:val="000000" w:themeColor="text1"/>
          <w:kern w:val="2"/>
          <w:sz w:val="30"/>
        </w:rPr>
        <w:t>.00</w:t>
      </w:r>
      <w:r w:rsidRPr="00925405">
        <w:rPr>
          <w:rFonts w:ascii="仿宋_GB2312" w:eastAsia="仿宋_GB2312" w:cs="Times New Roman" w:hint="eastAsia"/>
          <w:color w:val="000000" w:themeColor="text1"/>
          <w:kern w:val="2"/>
          <w:sz w:val="30"/>
          <w:lang w:val="zh-CN"/>
        </w:rPr>
        <w:t>元，支出决算为</w:t>
      </w:r>
      <w:r w:rsidRPr="00925405">
        <w:rPr>
          <w:rFonts w:ascii="仿宋_GB2312" w:eastAsia="仿宋_GB2312" w:cs="Times New Roman"/>
          <w:color w:val="000000" w:themeColor="text1"/>
          <w:kern w:val="2"/>
          <w:sz w:val="30"/>
          <w:lang w:val="zh-CN"/>
        </w:rPr>
        <w:t>40,721,000</w:t>
      </w:r>
      <w:r w:rsidRPr="00925405">
        <w:rPr>
          <w:rFonts w:ascii="仿宋_GB2312" w:eastAsia="仿宋_GB2312" w:cs="Times New Roman"/>
          <w:color w:val="000000" w:themeColor="text1"/>
          <w:kern w:val="2"/>
          <w:sz w:val="30"/>
        </w:rPr>
        <w:t>.00</w:t>
      </w:r>
      <w:r w:rsidRPr="00925405">
        <w:rPr>
          <w:rFonts w:ascii="仿宋_GB2312" w:eastAsia="仿宋_GB2312" w:cs="Times New Roman" w:hint="eastAsia"/>
          <w:color w:val="000000" w:themeColor="text1"/>
          <w:kern w:val="2"/>
          <w:sz w:val="30"/>
          <w:lang w:val="zh-CN"/>
        </w:rPr>
        <w:t>元，完成年初预算的</w:t>
      </w:r>
      <w:r w:rsidRPr="00925405">
        <w:rPr>
          <w:rFonts w:ascii="仿宋_GB2312" w:eastAsia="仿宋_GB2312" w:cs="Times New Roman"/>
          <w:color w:val="000000" w:themeColor="text1"/>
          <w:kern w:val="2"/>
          <w:sz w:val="30"/>
          <w:lang w:val="zh-CN"/>
        </w:rPr>
        <w:t>100</w:t>
      </w:r>
      <w:r w:rsidRPr="00925405">
        <w:rPr>
          <w:rFonts w:ascii="仿宋_GB2312" w:eastAsia="仿宋_GB2312" w:cs="Times New Roman"/>
          <w:color w:val="000000" w:themeColor="text1"/>
          <w:kern w:val="2"/>
          <w:sz w:val="30"/>
        </w:rPr>
        <w:t>.00</w:t>
      </w:r>
      <w:r w:rsidRPr="00925405">
        <w:rPr>
          <w:rFonts w:ascii="仿宋_GB2312" w:eastAsia="仿宋_GB2312" w:cs="Times New Roman"/>
          <w:color w:val="000000" w:themeColor="text1"/>
          <w:kern w:val="2"/>
          <w:sz w:val="30"/>
          <w:lang w:val="zh-CN"/>
        </w:rPr>
        <w:t>%</w:t>
      </w:r>
      <w:r w:rsidRPr="00925405">
        <w:rPr>
          <w:rFonts w:ascii="仿宋_GB2312" w:eastAsia="仿宋_GB2312" w:cs="Times New Roman" w:hint="eastAsia"/>
          <w:color w:val="000000" w:themeColor="text1"/>
          <w:kern w:val="2"/>
          <w:sz w:val="30"/>
          <w:lang w:val="zh-CN"/>
        </w:rPr>
        <w:t>，决算数等于年初预算数。</w:t>
      </w:r>
    </w:p>
    <w:p w14:paraId="46CB421D" w14:textId="77777777" w:rsidR="00AE3E76" w:rsidRPr="00925405" w:rsidRDefault="00AE3E76">
      <w:pPr>
        <w:spacing w:line="600" w:lineRule="exact"/>
        <w:ind w:firstLine="600"/>
        <w:rPr>
          <w:rFonts w:ascii="仿宋_GB2312" w:eastAsia="仿宋_GB2312" w:cs="Times New Roman"/>
          <w:color w:val="000000" w:themeColor="text1"/>
          <w:kern w:val="2"/>
          <w:sz w:val="30"/>
          <w:lang w:val="zh-CN"/>
        </w:rPr>
      </w:pPr>
      <w:r w:rsidRPr="00925405">
        <w:rPr>
          <w:rFonts w:ascii="仿宋_GB2312" w:eastAsia="仿宋_GB2312" w:cs="Times New Roman"/>
          <w:color w:val="000000" w:themeColor="text1"/>
          <w:kern w:val="2"/>
          <w:sz w:val="30"/>
          <w:lang w:val="zh-CN"/>
        </w:rPr>
        <w:t>5. 205</w:t>
      </w:r>
      <w:r w:rsidRPr="00925405">
        <w:rPr>
          <w:rFonts w:ascii="仿宋_GB2312" w:eastAsia="仿宋_GB2312" w:cs="Times New Roman" w:hint="eastAsia"/>
          <w:color w:val="000000" w:themeColor="text1"/>
          <w:kern w:val="2"/>
          <w:sz w:val="30"/>
          <w:lang w:val="zh-CN"/>
        </w:rPr>
        <w:t>（类）</w:t>
      </w:r>
      <w:r w:rsidRPr="00925405">
        <w:rPr>
          <w:rFonts w:ascii="仿宋_GB2312" w:eastAsia="仿宋_GB2312" w:cs="Times New Roman"/>
          <w:color w:val="000000" w:themeColor="text1"/>
          <w:kern w:val="2"/>
          <w:sz w:val="30"/>
          <w:lang w:val="zh-CN"/>
        </w:rPr>
        <w:t>03</w:t>
      </w:r>
      <w:r w:rsidRPr="00925405">
        <w:rPr>
          <w:rFonts w:ascii="仿宋_GB2312" w:eastAsia="仿宋_GB2312" w:cs="Times New Roman" w:hint="eastAsia"/>
          <w:color w:val="000000" w:themeColor="text1"/>
          <w:kern w:val="2"/>
          <w:sz w:val="30"/>
          <w:lang w:val="zh-CN"/>
        </w:rPr>
        <w:t>（款）</w:t>
      </w:r>
      <w:r w:rsidRPr="00925405">
        <w:rPr>
          <w:rFonts w:ascii="仿宋_GB2312" w:eastAsia="仿宋_GB2312" w:cs="Times New Roman"/>
          <w:color w:val="000000" w:themeColor="text1"/>
          <w:kern w:val="2"/>
          <w:sz w:val="30"/>
          <w:lang w:val="zh-CN"/>
        </w:rPr>
        <w:t>02</w:t>
      </w:r>
      <w:r w:rsidRPr="00925405">
        <w:rPr>
          <w:rFonts w:ascii="仿宋_GB2312" w:eastAsia="仿宋_GB2312" w:cs="Times New Roman" w:hint="eastAsia"/>
          <w:color w:val="000000" w:themeColor="text1"/>
          <w:kern w:val="2"/>
          <w:sz w:val="30"/>
          <w:lang w:val="zh-CN"/>
        </w:rPr>
        <w:t>（项）年初项目预算为</w:t>
      </w:r>
      <w:r w:rsidRPr="00925405">
        <w:rPr>
          <w:rFonts w:ascii="仿宋_GB2312" w:eastAsia="仿宋_GB2312" w:cs="Times New Roman"/>
          <w:color w:val="000000" w:themeColor="text1"/>
          <w:kern w:val="2"/>
          <w:sz w:val="30"/>
          <w:lang w:val="zh-CN"/>
        </w:rPr>
        <w:t>3,345,700.00</w:t>
      </w:r>
      <w:r w:rsidRPr="00925405">
        <w:rPr>
          <w:rFonts w:ascii="仿宋_GB2312" w:eastAsia="仿宋_GB2312" w:cs="Times New Roman" w:hint="eastAsia"/>
          <w:color w:val="000000" w:themeColor="text1"/>
          <w:kern w:val="2"/>
          <w:sz w:val="30"/>
          <w:lang w:val="zh-CN"/>
        </w:rPr>
        <w:t>元，支出决算为</w:t>
      </w:r>
      <w:r w:rsidRPr="00925405">
        <w:rPr>
          <w:rFonts w:ascii="仿宋_GB2312" w:eastAsia="仿宋_GB2312" w:cs="Times New Roman"/>
          <w:color w:val="000000" w:themeColor="text1"/>
          <w:kern w:val="2"/>
          <w:sz w:val="30"/>
          <w:lang w:val="zh-CN"/>
        </w:rPr>
        <w:t>3,174,280.00</w:t>
      </w:r>
      <w:r w:rsidRPr="00925405">
        <w:rPr>
          <w:rFonts w:ascii="仿宋_GB2312" w:eastAsia="仿宋_GB2312" w:cs="Times New Roman" w:hint="eastAsia"/>
          <w:color w:val="000000" w:themeColor="text1"/>
          <w:kern w:val="2"/>
          <w:sz w:val="30"/>
          <w:lang w:val="zh-CN"/>
        </w:rPr>
        <w:t>元，完成年初预算的</w:t>
      </w:r>
      <w:r w:rsidRPr="00925405">
        <w:rPr>
          <w:rFonts w:ascii="仿宋_GB2312" w:eastAsia="仿宋_GB2312" w:cs="Times New Roman"/>
          <w:color w:val="000000" w:themeColor="text1"/>
          <w:kern w:val="2"/>
          <w:sz w:val="30"/>
          <w:lang w:val="zh-CN"/>
        </w:rPr>
        <w:t>94.88%</w:t>
      </w:r>
      <w:r w:rsidRPr="00925405">
        <w:rPr>
          <w:rFonts w:ascii="仿宋_GB2312" w:eastAsia="仿宋_GB2312" w:cs="Times New Roman" w:hint="eastAsia"/>
          <w:color w:val="000000" w:themeColor="text1"/>
          <w:kern w:val="2"/>
          <w:sz w:val="30"/>
          <w:lang w:val="zh-CN"/>
        </w:rPr>
        <w:t>，决算数小于年初预算数的主要原因是未使用。</w:t>
      </w:r>
    </w:p>
    <w:p w14:paraId="7EB43EA7" w14:textId="77777777" w:rsidR="00AE3E76" w:rsidRPr="00925405" w:rsidRDefault="00AE3E76">
      <w:pPr>
        <w:spacing w:line="600" w:lineRule="exact"/>
        <w:ind w:firstLine="600"/>
        <w:rPr>
          <w:rFonts w:ascii="仿宋_GB2312" w:eastAsia="仿宋_GB2312" w:cs="Times New Roman"/>
          <w:color w:val="000000" w:themeColor="text1"/>
          <w:kern w:val="2"/>
          <w:sz w:val="30"/>
          <w:lang w:val="zh-CN"/>
        </w:rPr>
      </w:pPr>
      <w:r w:rsidRPr="00925405">
        <w:rPr>
          <w:rFonts w:ascii="仿宋_GB2312" w:eastAsia="仿宋_GB2312" w:cs="Times New Roman"/>
          <w:color w:val="000000" w:themeColor="text1"/>
          <w:kern w:val="2"/>
          <w:sz w:val="30"/>
          <w:lang w:val="zh-CN"/>
        </w:rPr>
        <w:t>6. 205</w:t>
      </w:r>
      <w:r w:rsidRPr="00925405">
        <w:rPr>
          <w:rFonts w:ascii="仿宋_GB2312" w:eastAsia="仿宋_GB2312" w:cs="Times New Roman" w:hint="eastAsia"/>
          <w:color w:val="000000" w:themeColor="text1"/>
          <w:kern w:val="2"/>
          <w:sz w:val="30"/>
          <w:lang w:val="zh-CN"/>
        </w:rPr>
        <w:t>（类）</w:t>
      </w:r>
      <w:r w:rsidRPr="00925405">
        <w:rPr>
          <w:rFonts w:ascii="仿宋_GB2312" w:eastAsia="仿宋_GB2312" w:cs="Times New Roman"/>
          <w:color w:val="000000" w:themeColor="text1"/>
          <w:kern w:val="2"/>
          <w:sz w:val="30"/>
          <w:lang w:val="zh-CN"/>
        </w:rPr>
        <w:t>03</w:t>
      </w:r>
      <w:r w:rsidRPr="00925405">
        <w:rPr>
          <w:rFonts w:ascii="仿宋_GB2312" w:eastAsia="仿宋_GB2312" w:cs="Times New Roman" w:hint="eastAsia"/>
          <w:color w:val="000000" w:themeColor="text1"/>
          <w:kern w:val="2"/>
          <w:sz w:val="30"/>
          <w:lang w:val="zh-CN"/>
        </w:rPr>
        <w:t>（款）</w:t>
      </w:r>
      <w:r w:rsidRPr="00925405">
        <w:rPr>
          <w:rFonts w:ascii="仿宋_GB2312" w:eastAsia="仿宋_GB2312" w:cs="Times New Roman"/>
          <w:color w:val="000000" w:themeColor="text1"/>
          <w:kern w:val="2"/>
          <w:sz w:val="30"/>
          <w:lang w:val="zh-CN"/>
        </w:rPr>
        <w:t>03</w:t>
      </w:r>
      <w:r w:rsidRPr="00925405">
        <w:rPr>
          <w:rFonts w:ascii="仿宋_GB2312" w:eastAsia="仿宋_GB2312" w:cs="Times New Roman" w:hint="eastAsia"/>
          <w:color w:val="000000" w:themeColor="text1"/>
          <w:kern w:val="2"/>
          <w:sz w:val="30"/>
          <w:lang w:val="zh-CN"/>
        </w:rPr>
        <w:t>（项）年初预算为</w:t>
      </w:r>
      <w:r w:rsidRPr="00925405">
        <w:rPr>
          <w:rFonts w:ascii="仿宋_GB2312" w:eastAsia="仿宋_GB2312" w:cs="Times New Roman"/>
          <w:color w:val="000000" w:themeColor="text1"/>
          <w:kern w:val="2"/>
          <w:sz w:val="30"/>
          <w:lang w:val="zh-CN"/>
        </w:rPr>
        <w:t>1,892,000.00</w:t>
      </w:r>
      <w:r w:rsidRPr="00925405">
        <w:rPr>
          <w:rFonts w:ascii="仿宋_GB2312" w:eastAsia="仿宋_GB2312" w:cs="Times New Roman" w:hint="eastAsia"/>
          <w:color w:val="000000" w:themeColor="text1"/>
          <w:kern w:val="2"/>
          <w:sz w:val="30"/>
          <w:lang w:val="zh-CN"/>
        </w:rPr>
        <w:t>元，支出决算为</w:t>
      </w:r>
      <w:r w:rsidRPr="00925405">
        <w:rPr>
          <w:rFonts w:ascii="仿宋_GB2312" w:eastAsia="仿宋_GB2312" w:cs="Times New Roman"/>
          <w:color w:val="000000" w:themeColor="text1"/>
          <w:kern w:val="2"/>
          <w:sz w:val="30"/>
          <w:lang w:val="zh-CN"/>
        </w:rPr>
        <w:t>1,280,624.75</w:t>
      </w:r>
      <w:r w:rsidRPr="00925405">
        <w:rPr>
          <w:rFonts w:ascii="仿宋_GB2312" w:eastAsia="仿宋_GB2312" w:cs="Times New Roman" w:hint="eastAsia"/>
          <w:color w:val="000000" w:themeColor="text1"/>
          <w:kern w:val="2"/>
          <w:sz w:val="30"/>
          <w:lang w:val="zh-CN"/>
        </w:rPr>
        <w:t>元，完成年初预算的</w:t>
      </w:r>
      <w:r w:rsidRPr="00925405">
        <w:rPr>
          <w:rFonts w:ascii="仿宋_GB2312" w:eastAsia="仿宋_GB2312" w:cs="Times New Roman"/>
          <w:color w:val="000000" w:themeColor="text1"/>
          <w:kern w:val="2"/>
          <w:sz w:val="30"/>
          <w:lang w:val="zh-CN"/>
        </w:rPr>
        <w:t>67.69%</w:t>
      </w:r>
      <w:r w:rsidRPr="00925405">
        <w:rPr>
          <w:rFonts w:ascii="仿宋_GB2312" w:eastAsia="仿宋_GB2312" w:cs="Times New Roman" w:hint="eastAsia"/>
          <w:color w:val="000000" w:themeColor="text1"/>
          <w:kern w:val="2"/>
          <w:sz w:val="30"/>
          <w:lang w:val="zh-CN"/>
        </w:rPr>
        <w:t>，决算数小于年初预算数的主要原因是未使用。</w:t>
      </w:r>
    </w:p>
    <w:p w14:paraId="63D490FD" w14:textId="77777777" w:rsidR="00AE3E76" w:rsidRPr="00925405" w:rsidRDefault="00AE3E76">
      <w:pPr>
        <w:pStyle w:val="2"/>
        <w:keepNext/>
        <w:keepLines/>
        <w:spacing w:line="600" w:lineRule="exact"/>
        <w:ind w:firstLine="602"/>
        <w:rPr>
          <w:rFonts w:ascii="黑体" w:eastAsia="黑体" w:hAnsi="黑体" w:hint="eastAsia"/>
          <w:b/>
          <w:color w:val="000000" w:themeColor="text1"/>
          <w:sz w:val="30"/>
        </w:rPr>
      </w:pPr>
      <w:r w:rsidRPr="00925405">
        <w:rPr>
          <w:rFonts w:ascii="黑体" w:eastAsia="黑体" w:hAnsi="黑体" w:hint="eastAsia"/>
          <w:b/>
          <w:color w:val="000000" w:themeColor="text1"/>
          <w:sz w:val="30"/>
        </w:rPr>
        <w:t>六、一般公共预算财政拨款基本支出决算情况说明</w:t>
      </w:r>
    </w:p>
    <w:p w14:paraId="6CCB31B8" w14:textId="77777777" w:rsidR="00AE3E76" w:rsidRDefault="00AE3E76">
      <w:pPr>
        <w:spacing w:line="600" w:lineRule="exact"/>
        <w:ind w:firstLine="600"/>
        <w:rPr>
          <w:rFonts w:ascii="仿宋_GB2312" w:eastAsia="仿宋_GB2312" w:cs="Times New Roman"/>
          <w:kern w:val="2"/>
          <w:sz w:val="30"/>
          <w:lang w:val="zh-CN"/>
        </w:rPr>
      </w:pPr>
      <w:r w:rsidRPr="00925405">
        <w:rPr>
          <w:rFonts w:ascii="仿宋_GB2312" w:eastAsia="仿宋_GB2312" w:cs="Times New Roman" w:hint="eastAsia"/>
          <w:color w:val="000000" w:themeColor="text1"/>
          <w:kern w:val="2"/>
          <w:sz w:val="30"/>
          <w:lang w:val="zh-CN"/>
        </w:rPr>
        <w:t>天津市化学工业学校</w:t>
      </w:r>
      <w:r w:rsidRPr="00925405">
        <w:rPr>
          <w:rFonts w:ascii="仿宋_GB2312" w:eastAsia="仿宋_GB2312" w:cs="Times New Roman"/>
          <w:color w:val="000000" w:themeColor="text1"/>
          <w:kern w:val="2"/>
          <w:sz w:val="30"/>
          <w:lang w:val="zh-CN"/>
        </w:rPr>
        <w:t>2022</w:t>
      </w:r>
      <w:r w:rsidRPr="00925405">
        <w:rPr>
          <w:rFonts w:ascii="仿宋_GB2312" w:eastAsia="仿宋_GB2312" w:cs="Times New Roman" w:hint="eastAsia"/>
          <w:color w:val="000000" w:themeColor="text1"/>
          <w:kern w:val="2"/>
          <w:sz w:val="30"/>
          <w:lang w:val="zh-CN"/>
        </w:rPr>
        <w:t>年度部门决算一般公共预算财政拨款基本支出合计</w:t>
      </w:r>
      <w:r w:rsidRPr="00925405">
        <w:rPr>
          <w:rFonts w:ascii="仿宋_GB2312" w:eastAsia="仿宋_GB2312" w:cs="Times New Roman"/>
          <w:color w:val="000000" w:themeColor="text1"/>
          <w:kern w:val="2"/>
          <w:sz w:val="30"/>
          <w:lang w:val="zh-CN"/>
        </w:rPr>
        <w:t>43,690,900.00</w:t>
      </w:r>
      <w:r w:rsidRPr="00925405">
        <w:rPr>
          <w:rFonts w:ascii="仿宋_GB2312" w:eastAsia="仿宋_GB2312" w:cs="Times New Roman" w:hint="eastAsia"/>
          <w:color w:val="000000" w:themeColor="text1"/>
          <w:kern w:val="2"/>
          <w:sz w:val="30"/>
          <w:lang w:val="zh-CN"/>
        </w:rPr>
        <w:t>元，与</w:t>
      </w:r>
      <w:r w:rsidRPr="00925405">
        <w:rPr>
          <w:rFonts w:ascii="仿宋_GB2312" w:eastAsia="仿宋_GB2312" w:cs="Times New Roman"/>
          <w:color w:val="000000" w:themeColor="text1"/>
          <w:kern w:val="2"/>
          <w:sz w:val="30"/>
          <w:lang w:val="zh-CN"/>
        </w:rPr>
        <w:t>2021</w:t>
      </w:r>
      <w:r w:rsidRPr="00925405">
        <w:rPr>
          <w:rFonts w:ascii="仿宋_GB2312" w:eastAsia="仿宋_GB2312" w:cs="Times New Roman" w:hint="eastAsia"/>
          <w:color w:val="000000" w:themeColor="text1"/>
          <w:kern w:val="2"/>
          <w:sz w:val="30"/>
          <w:lang w:val="zh-CN"/>
        </w:rPr>
        <w:t>年度相比增加</w:t>
      </w:r>
      <w:r w:rsidRPr="00925405">
        <w:rPr>
          <w:rFonts w:ascii="仿宋_GB2312" w:eastAsia="仿宋_GB2312" w:cs="Times New Roman"/>
          <w:color w:val="000000" w:themeColor="text1"/>
          <w:kern w:val="2"/>
          <w:sz w:val="30"/>
          <w:lang w:val="zh-CN"/>
        </w:rPr>
        <w:t>4,949,900.00</w:t>
      </w:r>
      <w:r w:rsidRPr="00925405">
        <w:rPr>
          <w:rFonts w:ascii="仿宋_GB2312" w:eastAsia="仿宋_GB2312" w:cs="Times New Roman" w:hint="eastAsia"/>
          <w:color w:val="000000" w:themeColor="text1"/>
          <w:kern w:val="2"/>
          <w:sz w:val="30"/>
          <w:lang w:val="zh-CN"/>
        </w:rPr>
        <w:t>元，主要原因是：天津市化学工业学校在职人员增加</w:t>
      </w:r>
      <w:r w:rsidRPr="00925405">
        <w:rPr>
          <w:rFonts w:ascii="仿宋_GB2312" w:eastAsia="仿宋_GB2312" w:cs="Times New Roman" w:hint="eastAsia"/>
          <w:color w:val="000000" w:themeColor="text1"/>
          <w:kern w:val="2"/>
          <w:sz w:val="30"/>
          <w:lang w:val="zh-CN"/>
        </w:rPr>
        <w:lastRenderedPageBreak/>
        <w:t>及校舍维修维护费用增加。其中：人员经费</w:t>
      </w:r>
      <w:r w:rsidRPr="00925405">
        <w:rPr>
          <w:rFonts w:ascii="仿宋_GB2312" w:eastAsia="仿宋_GB2312" w:cs="Times New Roman"/>
          <w:color w:val="000000" w:themeColor="text1"/>
          <w:kern w:val="2"/>
          <w:sz w:val="30"/>
          <w:lang w:val="zh-CN"/>
        </w:rPr>
        <w:t>28,969,900.00</w:t>
      </w:r>
      <w:r w:rsidRPr="00925405">
        <w:rPr>
          <w:rFonts w:ascii="仿宋_GB2312" w:eastAsia="仿宋_GB2312" w:cs="Times New Roman" w:hint="eastAsia"/>
          <w:color w:val="000000" w:themeColor="text1"/>
          <w:kern w:val="2"/>
          <w:sz w:val="30"/>
          <w:lang w:val="zh-CN"/>
        </w:rPr>
        <w:t>元，主要包括基本工资、津贴补贴、绩效工资、机关事业单位基本养老保险缴费、职业年金缴费、职工基本医疗保</w:t>
      </w:r>
      <w:r>
        <w:rPr>
          <w:rFonts w:ascii="仿宋_GB2312" w:eastAsia="仿宋_GB2312" w:cs="Times New Roman" w:hint="eastAsia"/>
          <w:kern w:val="2"/>
          <w:sz w:val="30"/>
          <w:lang w:val="zh-CN"/>
        </w:rPr>
        <w:t>险缴费、其他社会保障缴费、住房公积金、医疗费、退休费、抚恤金、生活补助、医疗费补助；公用经费</w:t>
      </w:r>
      <w:r>
        <w:rPr>
          <w:rFonts w:ascii="仿宋_GB2312" w:eastAsia="仿宋_GB2312" w:cs="Times New Roman"/>
          <w:kern w:val="2"/>
          <w:sz w:val="30"/>
          <w:lang w:val="zh-CN"/>
        </w:rPr>
        <w:t>14,721,000.00</w:t>
      </w:r>
      <w:r>
        <w:rPr>
          <w:rFonts w:ascii="仿宋_GB2312" w:eastAsia="仿宋_GB2312" w:cs="Times New Roman" w:hint="eastAsia"/>
          <w:kern w:val="2"/>
          <w:sz w:val="30"/>
          <w:lang w:val="zh-CN"/>
        </w:rPr>
        <w:t>元，主要包括办公费、水费、电费、邮电费、取暖费、物业管理费、差旅费、维修</w:t>
      </w:r>
      <w:r>
        <w:rPr>
          <w:rFonts w:ascii="仿宋_GB2312" w:eastAsia="仿宋_GB2312" w:cs="Times New Roman"/>
          <w:kern w:val="2"/>
          <w:sz w:val="30"/>
          <w:lang w:val="zh-CN"/>
        </w:rPr>
        <w:t>(</w:t>
      </w:r>
      <w:r>
        <w:rPr>
          <w:rFonts w:ascii="仿宋_GB2312" w:eastAsia="仿宋_GB2312" w:cs="Times New Roman" w:hint="eastAsia"/>
          <w:kern w:val="2"/>
          <w:sz w:val="30"/>
          <w:lang w:val="zh-CN"/>
        </w:rPr>
        <w:t>护</w:t>
      </w:r>
      <w:r>
        <w:rPr>
          <w:rFonts w:ascii="仿宋_GB2312" w:eastAsia="仿宋_GB2312" w:cs="Times New Roman"/>
          <w:kern w:val="2"/>
          <w:sz w:val="30"/>
          <w:lang w:val="zh-CN"/>
        </w:rPr>
        <w:t>)</w:t>
      </w:r>
      <w:r>
        <w:rPr>
          <w:rFonts w:ascii="仿宋_GB2312" w:eastAsia="仿宋_GB2312" w:cs="Times New Roman" w:hint="eastAsia"/>
          <w:kern w:val="2"/>
          <w:sz w:val="30"/>
          <w:lang w:val="zh-CN"/>
        </w:rPr>
        <w:t>费、培训费、专用材料费、劳务费、工会经费、福利费、其他交通费用、其他商品和服务支出、专用设备购置。</w:t>
      </w:r>
    </w:p>
    <w:p w14:paraId="4A3F4AB1" w14:textId="77777777" w:rsidR="00AE3E76" w:rsidRDefault="00AE3E76">
      <w:pPr>
        <w:pStyle w:val="2"/>
        <w:keepNext/>
        <w:keepLines/>
        <w:spacing w:line="600" w:lineRule="exact"/>
        <w:ind w:firstLine="602"/>
        <w:rPr>
          <w:rFonts w:ascii="黑体" w:eastAsia="黑体" w:hAnsi="黑体" w:hint="eastAsia"/>
          <w:b/>
          <w:sz w:val="30"/>
        </w:rPr>
      </w:pPr>
      <w:r>
        <w:rPr>
          <w:rFonts w:ascii="黑体" w:eastAsia="黑体" w:hAnsi="黑体" w:hint="eastAsia"/>
          <w:b/>
          <w:sz w:val="30"/>
        </w:rPr>
        <w:t>七、政府性基金预算财政拨款收支决算情况</w:t>
      </w:r>
    </w:p>
    <w:p w14:paraId="79214309"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年度无政府性基金预算财政拨款收入、支出和结转结余。</w:t>
      </w:r>
    </w:p>
    <w:p w14:paraId="0C15AF34" w14:textId="77777777" w:rsidR="00AE3E76" w:rsidRDefault="00AE3E76">
      <w:pPr>
        <w:spacing w:line="600" w:lineRule="exact"/>
        <w:ind w:firstLine="600"/>
        <w:rPr>
          <w:rFonts w:ascii="黑体" w:eastAsia="黑体" w:hAnsi="黑体" w:hint="eastAsia"/>
          <w:b/>
          <w:sz w:val="30"/>
        </w:rPr>
      </w:pPr>
      <w:r>
        <w:rPr>
          <w:rFonts w:ascii="黑体" w:eastAsia="黑体" w:hAnsi="黑体" w:hint="eastAsia"/>
          <w:b/>
          <w:sz w:val="30"/>
        </w:rPr>
        <w:t>八、国有资本经营预算财政拨款收支决算情况说明</w:t>
      </w:r>
    </w:p>
    <w:p w14:paraId="36EF05FA"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年度无国有资本经营预算财政拨款收入、支出和结转结余。</w:t>
      </w:r>
    </w:p>
    <w:p w14:paraId="0AC5287B" w14:textId="77777777" w:rsidR="00AE3E76" w:rsidRDefault="00AE3E76">
      <w:pPr>
        <w:pStyle w:val="2"/>
        <w:keepNext/>
        <w:keepLines/>
        <w:spacing w:line="600" w:lineRule="exact"/>
        <w:ind w:firstLine="602"/>
        <w:rPr>
          <w:rFonts w:ascii="黑体" w:eastAsia="黑体" w:hAnsi="黑体" w:hint="eastAsia"/>
          <w:b/>
          <w:sz w:val="30"/>
        </w:rPr>
      </w:pPr>
      <w:r>
        <w:rPr>
          <w:rFonts w:ascii="黑体" w:eastAsia="黑体" w:hAnsi="黑体" w:hint="eastAsia"/>
          <w:b/>
          <w:sz w:val="30"/>
        </w:rPr>
        <w:t>九、一般公共预算财政拨款“三公”经费</w:t>
      </w:r>
      <w:r>
        <w:rPr>
          <w:rFonts w:ascii="黑体" w:eastAsia="黑体" w:hAnsi="黑体" w:hint="eastAsia"/>
          <w:b/>
          <w:sz w:val="30"/>
          <w:lang w:val="zh-CN"/>
        </w:rPr>
        <w:t>支出决算</w:t>
      </w:r>
      <w:r>
        <w:rPr>
          <w:rFonts w:ascii="黑体" w:eastAsia="黑体" w:hAnsi="黑体" w:hint="eastAsia"/>
          <w:b/>
          <w:sz w:val="30"/>
        </w:rPr>
        <w:t>情况</w:t>
      </w:r>
    </w:p>
    <w:p w14:paraId="48AEB64C" w14:textId="77777777" w:rsidR="00AE3E76" w:rsidRDefault="00AE3E76">
      <w:pPr>
        <w:spacing w:line="600" w:lineRule="exact"/>
        <w:ind w:firstLineChars="200" w:firstLine="602"/>
        <w:jc w:val="both"/>
        <w:rPr>
          <w:rFonts w:ascii="楷体" w:eastAsia="楷体" w:hAnsi="楷体" w:cs="楷体" w:hint="eastAsia"/>
          <w:b/>
          <w:sz w:val="30"/>
          <w:szCs w:val="30"/>
        </w:rPr>
      </w:pPr>
      <w:r>
        <w:rPr>
          <w:rFonts w:ascii="楷体" w:eastAsia="楷体" w:hAnsi="楷体" w:cs="楷体" w:hint="eastAsia"/>
          <w:b/>
          <w:sz w:val="30"/>
          <w:szCs w:val="30"/>
        </w:rPr>
        <w:t>（一）总体情况</w:t>
      </w:r>
    </w:p>
    <w:p w14:paraId="7194639D"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kern w:val="2"/>
          <w:sz w:val="30"/>
          <w:lang w:val="zh-CN"/>
        </w:rPr>
        <w:t>2022</w:t>
      </w:r>
      <w:r>
        <w:rPr>
          <w:rFonts w:ascii="仿宋_GB2312" w:eastAsia="仿宋_GB2312" w:cs="Times New Roman" w:hint="eastAsia"/>
          <w:kern w:val="2"/>
          <w:sz w:val="30"/>
          <w:lang w:val="zh-CN"/>
        </w:rPr>
        <w:t>年一般公共预算财政拨款“三公”经费预算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元，支出决算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元，与预算相比持平；较上年持平。主要原因是本年度未用一般公共预算列支“三公”经费。</w:t>
      </w:r>
    </w:p>
    <w:p w14:paraId="64BE6E5A" w14:textId="77777777" w:rsidR="00AE3E76" w:rsidRDefault="00AE3E76">
      <w:pPr>
        <w:spacing w:line="600" w:lineRule="exact"/>
        <w:ind w:firstLineChars="200" w:firstLine="602"/>
        <w:jc w:val="both"/>
        <w:rPr>
          <w:rFonts w:ascii="楷体" w:eastAsia="楷体" w:hAnsi="楷体" w:cs="楷体" w:hint="eastAsia"/>
          <w:b/>
          <w:sz w:val="30"/>
          <w:szCs w:val="30"/>
        </w:rPr>
      </w:pPr>
      <w:r>
        <w:rPr>
          <w:rFonts w:ascii="楷体" w:eastAsia="楷体" w:hAnsi="楷体" w:cs="楷体" w:hint="eastAsia"/>
          <w:b/>
          <w:sz w:val="30"/>
          <w:szCs w:val="30"/>
        </w:rPr>
        <w:t>（二）具体情况</w:t>
      </w:r>
    </w:p>
    <w:p w14:paraId="789C5752"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kern w:val="2"/>
          <w:sz w:val="30"/>
          <w:lang w:val="zh-CN"/>
        </w:rPr>
        <w:t>1.</w:t>
      </w:r>
      <w:r>
        <w:rPr>
          <w:rFonts w:ascii="仿宋_GB2312" w:eastAsia="仿宋_GB2312" w:cs="Times New Roman" w:hint="eastAsia"/>
          <w:kern w:val="2"/>
          <w:sz w:val="30"/>
          <w:lang w:val="zh-CN"/>
        </w:rPr>
        <w:t>因公出国（境）费预算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元，支出决算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元，与预算相</w:t>
      </w:r>
      <w:r>
        <w:rPr>
          <w:rFonts w:ascii="仿宋_GB2312" w:eastAsia="仿宋_GB2312" w:cs="Times New Roman" w:hint="eastAsia"/>
          <w:kern w:val="2"/>
          <w:sz w:val="30"/>
          <w:lang w:val="zh-CN"/>
        </w:rPr>
        <w:lastRenderedPageBreak/>
        <w:t>比持平；较上年持平。主要原因是本年度未用一般公共预算列支“三公”经费。</w:t>
      </w:r>
      <w:r>
        <w:rPr>
          <w:rFonts w:ascii="仿宋_GB2312" w:eastAsia="仿宋_GB2312" w:cs="Times New Roman"/>
          <w:kern w:val="2"/>
          <w:sz w:val="30"/>
          <w:lang w:val="zh-CN"/>
        </w:rPr>
        <w:t>2022</w:t>
      </w:r>
      <w:r>
        <w:rPr>
          <w:rFonts w:ascii="仿宋_GB2312" w:eastAsia="仿宋_GB2312" w:cs="Times New Roman" w:hint="eastAsia"/>
          <w:kern w:val="2"/>
          <w:sz w:val="30"/>
          <w:lang w:val="zh-CN"/>
        </w:rPr>
        <w:t>年本单位组织的出国团组</w:t>
      </w:r>
      <w:r>
        <w:rPr>
          <w:rFonts w:ascii="仿宋_GB2312" w:eastAsia="仿宋_GB2312" w:cs="Times New Roman"/>
          <w:kern w:val="2"/>
          <w:sz w:val="30"/>
          <w:lang w:val="zh-CN"/>
        </w:rPr>
        <w:t>0</w:t>
      </w:r>
      <w:r>
        <w:rPr>
          <w:rFonts w:ascii="仿宋_GB2312" w:eastAsia="仿宋_GB2312" w:cs="Times New Roman" w:hint="eastAsia"/>
          <w:kern w:val="2"/>
          <w:sz w:val="30"/>
          <w:lang w:val="zh-CN"/>
        </w:rPr>
        <w:t>个，出国</w:t>
      </w:r>
      <w:r>
        <w:rPr>
          <w:rFonts w:ascii="仿宋_GB2312" w:eastAsia="仿宋_GB2312" w:cs="Times New Roman"/>
          <w:kern w:val="2"/>
          <w:sz w:val="30"/>
          <w:lang w:val="zh-CN"/>
        </w:rPr>
        <w:t>0</w:t>
      </w:r>
      <w:r>
        <w:rPr>
          <w:rFonts w:ascii="仿宋_GB2312" w:eastAsia="仿宋_GB2312" w:cs="Times New Roman" w:hint="eastAsia"/>
          <w:kern w:val="2"/>
          <w:sz w:val="30"/>
          <w:lang w:val="zh-CN"/>
        </w:rPr>
        <w:t>人次。</w:t>
      </w:r>
    </w:p>
    <w:p w14:paraId="20CEE2D2"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kern w:val="2"/>
          <w:sz w:val="30"/>
          <w:lang w:val="zh-CN"/>
        </w:rPr>
        <w:t>2.</w:t>
      </w:r>
      <w:r>
        <w:rPr>
          <w:rFonts w:ascii="仿宋_GB2312" w:eastAsia="仿宋_GB2312" w:cs="Times New Roman" w:hint="eastAsia"/>
          <w:kern w:val="2"/>
          <w:sz w:val="30"/>
          <w:lang w:val="zh-CN"/>
        </w:rPr>
        <w:t>公务用车购置及运行维护费预算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元，支出决算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元，与预算相比持平；较上年持平。其中：</w:t>
      </w:r>
    </w:p>
    <w:p w14:paraId="3BE059D9"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公务用车运行维护费预算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元，支出决算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元，与预算相比持平；较上年持平。主要原因是本年未用一般公共预算财政拨款运行维护公务用车。截至</w:t>
      </w:r>
      <w:r>
        <w:rPr>
          <w:rFonts w:ascii="仿宋_GB2312" w:eastAsia="仿宋_GB2312" w:cs="Times New Roman"/>
          <w:kern w:val="2"/>
          <w:sz w:val="30"/>
          <w:lang w:val="zh-CN"/>
        </w:rPr>
        <w:t>2022</w:t>
      </w:r>
      <w:r>
        <w:rPr>
          <w:rFonts w:ascii="仿宋_GB2312" w:eastAsia="仿宋_GB2312" w:cs="Times New Roman" w:hint="eastAsia"/>
          <w:kern w:val="2"/>
          <w:sz w:val="30"/>
          <w:lang w:val="zh-CN"/>
        </w:rPr>
        <w:t>年</w:t>
      </w:r>
      <w:r>
        <w:rPr>
          <w:rFonts w:ascii="仿宋_GB2312" w:eastAsia="仿宋_GB2312" w:cs="Times New Roman"/>
          <w:kern w:val="2"/>
          <w:sz w:val="30"/>
          <w:lang w:val="zh-CN"/>
        </w:rPr>
        <w:t>12</w:t>
      </w:r>
      <w:r>
        <w:rPr>
          <w:rFonts w:ascii="仿宋_GB2312" w:eastAsia="仿宋_GB2312" w:cs="Times New Roman" w:hint="eastAsia"/>
          <w:kern w:val="2"/>
          <w:sz w:val="30"/>
          <w:lang w:val="zh-CN"/>
        </w:rPr>
        <w:t>月</w:t>
      </w:r>
      <w:r>
        <w:rPr>
          <w:rFonts w:ascii="仿宋_GB2312" w:eastAsia="仿宋_GB2312" w:cs="Times New Roman"/>
          <w:kern w:val="2"/>
          <w:sz w:val="30"/>
          <w:lang w:val="zh-CN"/>
        </w:rPr>
        <w:t>31</w:t>
      </w:r>
      <w:r>
        <w:rPr>
          <w:rFonts w:ascii="仿宋_GB2312" w:eastAsia="仿宋_GB2312" w:cs="Times New Roman" w:hint="eastAsia"/>
          <w:kern w:val="2"/>
          <w:sz w:val="30"/>
          <w:lang w:val="zh-CN"/>
        </w:rPr>
        <w:t>日，使用一般公共预算财政拨款开支运行维护费的公务用车保有量为</w:t>
      </w:r>
      <w:r>
        <w:rPr>
          <w:rFonts w:ascii="仿宋_GB2312" w:eastAsia="仿宋_GB2312" w:cs="Times New Roman"/>
          <w:kern w:val="2"/>
          <w:sz w:val="30"/>
          <w:lang w:val="zh-CN"/>
        </w:rPr>
        <w:t>2</w:t>
      </w:r>
      <w:r>
        <w:rPr>
          <w:rFonts w:ascii="仿宋_GB2312" w:eastAsia="仿宋_GB2312" w:cs="Times New Roman" w:hint="eastAsia"/>
          <w:kern w:val="2"/>
          <w:sz w:val="30"/>
          <w:lang w:val="zh-CN"/>
        </w:rPr>
        <w:t>辆。</w:t>
      </w:r>
    </w:p>
    <w:p w14:paraId="28E39F38"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公务用车购置费预算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元，支出决算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元，与预算相比持平；较上年持平。主要原因是本年未用一般公共预算财政拨款购置公务用车。</w:t>
      </w:r>
      <w:r>
        <w:rPr>
          <w:rFonts w:ascii="仿宋_GB2312" w:eastAsia="仿宋_GB2312" w:cs="Times New Roman"/>
          <w:kern w:val="2"/>
          <w:sz w:val="30"/>
          <w:lang w:val="zh-CN"/>
        </w:rPr>
        <w:t>2022</w:t>
      </w:r>
      <w:r>
        <w:rPr>
          <w:rFonts w:ascii="仿宋_GB2312" w:eastAsia="仿宋_GB2312" w:cs="Times New Roman" w:hint="eastAsia"/>
          <w:kern w:val="2"/>
          <w:sz w:val="30"/>
          <w:lang w:val="zh-CN"/>
        </w:rPr>
        <w:t>年购置公务用车</w:t>
      </w:r>
      <w:r>
        <w:rPr>
          <w:rFonts w:ascii="仿宋_GB2312" w:eastAsia="仿宋_GB2312" w:cs="Times New Roman"/>
          <w:kern w:val="2"/>
          <w:sz w:val="30"/>
          <w:lang w:val="zh-CN"/>
        </w:rPr>
        <w:t>0</w:t>
      </w:r>
      <w:r>
        <w:rPr>
          <w:rFonts w:ascii="仿宋_GB2312" w:eastAsia="仿宋_GB2312" w:cs="Times New Roman" w:hint="eastAsia"/>
          <w:kern w:val="2"/>
          <w:sz w:val="30"/>
          <w:lang w:val="zh-CN"/>
        </w:rPr>
        <w:t>辆。</w:t>
      </w:r>
    </w:p>
    <w:p w14:paraId="3F5FE276"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kern w:val="2"/>
          <w:sz w:val="30"/>
          <w:lang w:val="zh-CN"/>
        </w:rPr>
        <w:t>3.</w:t>
      </w:r>
      <w:r>
        <w:rPr>
          <w:rFonts w:ascii="仿宋_GB2312" w:eastAsia="仿宋_GB2312" w:cs="Times New Roman" w:hint="eastAsia"/>
          <w:kern w:val="2"/>
          <w:sz w:val="30"/>
          <w:lang w:val="zh-CN"/>
        </w:rPr>
        <w:t>公务接待费预算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元，支出决算</w:t>
      </w:r>
      <w:r>
        <w:rPr>
          <w:rFonts w:ascii="仿宋_GB2312" w:eastAsia="仿宋_GB2312" w:cs="Times New Roman"/>
          <w:kern w:val="2"/>
          <w:sz w:val="30"/>
          <w:lang w:val="zh-CN"/>
        </w:rPr>
        <w:t>0.00</w:t>
      </w:r>
      <w:r>
        <w:rPr>
          <w:rFonts w:ascii="仿宋_GB2312" w:eastAsia="仿宋_GB2312" w:cs="Times New Roman" w:hint="eastAsia"/>
          <w:kern w:val="2"/>
          <w:sz w:val="30"/>
          <w:lang w:val="zh-CN"/>
        </w:rPr>
        <w:t>元，与预算相比持平；较上年持平。主要原因是本年未安排公务接待活动。</w:t>
      </w:r>
      <w:r>
        <w:rPr>
          <w:rFonts w:ascii="仿宋_GB2312" w:eastAsia="仿宋_GB2312" w:cs="Times New Roman"/>
          <w:kern w:val="2"/>
          <w:sz w:val="30"/>
          <w:lang w:val="zh-CN"/>
        </w:rPr>
        <w:t>2022</w:t>
      </w:r>
      <w:r>
        <w:rPr>
          <w:rFonts w:ascii="仿宋_GB2312" w:eastAsia="仿宋_GB2312" w:cs="Times New Roman" w:hint="eastAsia"/>
          <w:kern w:val="2"/>
          <w:sz w:val="30"/>
          <w:lang w:val="zh-CN"/>
        </w:rPr>
        <w:t>年本单位国内公务接待</w:t>
      </w:r>
      <w:r>
        <w:rPr>
          <w:rFonts w:ascii="仿宋_GB2312" w:eastAsia="仿宋_GB2312" w:cs="Times New Roman"/>
          <w:kern w:val="2"/>
          <w:sz w:val="30"/>
          <w:lang w:val="zh-CN"/>
        </w:rPr>
        <w:t>0</w:t>
      </w:r>
      <w:r>
        <w:rPr>
          <w:rFonts w:ascii="仿宋_GB2312" w:eastAsia="仿宋_GB2312" w:cs="Times New Roman" w:hint="eastAsia"/>
          <w:kern w:val="2"/>
          <w:sz w:val="30"/>
          <w:lang w:val="zh-CN"/>
        </w:rPr>
        <w:t>批次，</w:t>
      </w:r>
      <w:r>
        <w:rPr>
          <w:rFonts w:ascii="仿宋_GB2312" w:eastAsia="仿宋_GB2312" w:cs="Times New Roman"/>
          <w:kern w:val="2"/>
          <w:sz w:val="30"/>
          <w:lang w:val="zh-CN"/>
        </w:rPr>
        <w:t>0</w:t>
      </w:r>
      <w:r>
        <w:rPr>
          <w:rFonts w:ascii="仿宋_GB2312" w:eastAsia="仿宋_GB2312" w:cs="Times New Roman" w:hint="eastAsia"/>
          <w:kern w:val="2"/>
          <w:sz w:val="30"/>
          <w:lang w:val="zh-CN"/>
        </w:rPr>
        <w:t>人次；其中，外事接待</w:t>
      </w:r>
      <w:r>
        <w:rPr>
          <w:rFonts w:ascii="仿宋_GB2312" w:eastAsia="仿宋_GB2312" w:cs="Times New Roman"/>
          <w:kern w:val="2"/>
          <w:sz w:val="30"/>
          <w:lang w:val="zh-CN"/>
        </w:rPr>
        <w:t>0</w:t>
      </w:r>
      <w:r>
        <w:rPr>
          <w:rFonts w:ascii="仿宋_GB2312" w:eastAsia="仿宋_GB2312" w:cs="Times New Roman" w:hint="eastAsia"/>
          <w:kern w:val="2"/>
          <w:sz w:val="30"/>
          <w:lang w:val="zh-CN"/>
        </w:rPr>
        <w:t>批次，</w:t>
      </w:r>
      <w:r>
        <w:rPr>
          <w:rFonts w:ascii="仿宋_GB2312" w:eastAsia="仿宋_GB2312" w:cs="Times New Roman"/>
          <w:kern w:val="2"/>
          <w:sz w:val="30"/>
          <w:lang w:val="zh-CN"/>
        </w:rPr>
        <w:t>0</w:t>
      </w:r>
      <w:r>
        <w:rPr>
          <w:rFonts w:ascii="仿宋_GB2312" w:eastAsia="仿宋_GB2312" w:cs="Times New Roman" w:hint="eastAsia"/>
          <w:kern w:val="2"/>
          <w:sz w:val="30"/>
          <w:lang w:val="zh-CN"/>
        </w:rPr>
        <w:t>人次。</w:t>
      </w:r>
    </w:p>
    <w:p w14:paraId="5C7FAEC5" w14:textId="77777777" w:rsidR="00AE3E76" w:rsidRDefault="00AE3E76">
      <w:pPr>
        <w:pStyle w:val="2"/>
        <w:keepNext/>
        <w:keepLines/>
        <w:spacing w:line="600" w:lineRule="exact"/>
        <w:ind w:firstLine="602"/>
        <w:rPr>
          <w:rFonts w:ascii="黑体" w:eastAsia="黑体" w:hAnsi="黑体" w:hint="eastAsia"/>
          <w:b/>
          <w:sz w:val="30"/>
        </w:rPr>
      </w:pPr>
      <w:r>
        <w:rPr>
          <w:rFonts w:ascii="黑体" w:eastAsia="黑体" w:hAnsi="黑体" w:hint="eastAsia"/>
          <w:b/>
          <w:sz w:val="30"/>
        </w:rPr>
        <w:t>十、机关运行经费支出情况说明</w:t>
      </w:r>
    </w:p>
    <w:p w14:paraId="2960969B"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年度无机关运行经费。</w:t>
      </w:r>
    </w:p>
    <w:p w14:paraId="797E8661" w14:textId="77777777" w:rsidR="00AE3E76" w:rsidRDefault="00AE3E76">
      <w:pPr>
        <w:pStyle w:val="2"/>
        <w:keepNext/>
        <w:keepLines/>
        <w:spacing w:line="600" w:lineRule="exact"/>
        <w:ind w:firstLine="602"/>
        <w:rPr>
          <w:rFonts w:ascii="黑体" w:eastAsia="黑体" w:hAnsi="黑体" w:hint="eastAsia"/>
          <w:b/>
          <w:sz w:val="30"/>
        </w:rPr>
      </w:pPr>
      <w:r>
        <w:rPr>
          <w:rFonts w:ascii="黑体" w:eastAsia="黑体" w:hAnsi="黑体" w:hint="eastAsia"/>
          <w:b/>
          <w:sz w:val="30"/>
        </w:rPr>
        <w:t>十一、政府采购支出情况说明</w:t>
      </w:r>
    </w:p>
    <w:p w14:paraId="05F641C9"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年政府采购支出总额</w:t>
      </w:r>
      <w:r>
        <w:rPr>
          <w:rFonts w:ascii="仿宋_GB2312" w:eastAsia="仿宋_GB2312" w:cs="Times New Roman"/>
          <w:kern w:val="2"/>
          <w:sz w:val="30"/>
          <w:lang w:val="zh-CN"/>
        </w:rPr>
        <w:t>8,211,472.68</w:t>
      </w:r>
      <w:r>
        <w:rPr>
          <w:rFonts w:ascii="仿宋_GB2312" w:eastAsia="仿宋_GB2312" w:cs="Times New Roman" w:hint="eastAsia"/>
          <w:kern w:val="2"/>
          <w:sz w:val="30"/>
          <w:lang w:val="zh-CN"/>
        </w:rPr>
        <w:t>元，其中：政府采购货物支出</w:t>
      </w:r>
      <w:r>
        <w:rPr>
          <w:rFonts w:ascii="仿宋_GB2312" w:eastAsia="仿宋_GB2312" w:cs="Times New Roman"/>
          <w:kern w:val="2"/>
          <w:sz w:val="30"/>
          <w:lang w:val="zh-CN"/>
        </w:rPr>
        <w:t>2,051,854.60</w:t>
      </w:r>
      <w:r>
        <w:rPr>
          <w:rFonts w:ascii="仿宋_GB2312" w:eastAsia="仿宋_GB2312" w:cs="Times New Roman" w:hint="eastAsia"/>
          <w:kern w:val="2"/>
          <w:sz w:val="30"/>
          <w:lang w:val="zh-CN"/>
        </w:rPr>
        <w:t>元、政府采购工程支出</w:t>
      </w:r>
      <w:r>
        <w:rPr>
          <w:rFonts w:ascii="仿宋_GB2312" w:eastAsia="仿宋_GB2312" w:cs="Times New Roman"/>
          <w:kern w:val="2"/>
          <w:sz w:val="30"/>
          <w:lang w:val="zh-CN"/>
        </w:rPr>
        <w:t>0.00</w:t>
      </w:r>
      <w:r>
        <w:rPr>
          <w:rFonts w:ascii="仿宋_GB2312" w:eastAsia="仿宋_GB2312" w:cs="Times New Roman" w:hint="eastAsia"/>
          <w:kern w:val="2"/>
          <w:sz w:val="30"/>
          <w:lang w:val="zh-CN"/>
        </w:rPr>
        <w:t>元、政府采购服务支出</w:t>
      </w:r>
      <w:r>
        <w:rPr>
          <w:rFonts w:ascii="仿宋_GB2312" w:eastAsia="仿宋_GB2312" w:cs="Times New Roman"/>
          <w:kern w:val="2"/>
          <w:sz w:val="30"/>
          <w:lang w:val="zh-CN"/>
        </w:rPr>
        <w:t>6,159,618.08</w:t>
      </w:r>
      <w:r>
        <w:rPr>
          <w:rFonts w:ascii="仿宋_GB2312" w:eastAsia="仿宋_GB2312" w:cs="Times New Roman" w:hint="eastAsia"/>
          <w:kern w:val="2"/>
          <w:sz w:val="30"/>
          <w:lang w:val="zh-CN"/>
        </w:rPr>
        <w:t>元。授予中小企业合同金额</w:t>
      </w:r>
      <w:r>
        <w:rPr>
          <w:rFonts w:ascii="仿宋_GB2312" w:eastAsia="仿宋_GB2312" w:cs="Times New Roman"/>
          <w:kern w:val="2"/>
          <w:sz w:val="30"/>
          <w:lang w:val="zh-CN"/>
        </w:rPr>
        <w:t>8,211,472.68</w:t>
      </w:r>
      <w:r>
        <w:rPr>
          <w:rFonts w:ascii="仿宋_GB2312" w:eastAsia="仿宋_GB2312" w:cs="Times New Roman" w:hint="eastAsia"/>
          <w:kern w:val="2"/>
          <w:sz w:val="30"/>
          <w:lang w:val="zh-CN"/>
        </w:rPr>
        <w:t>元，占政府采购支出总额的</w:t>
      </w:r>
      <w:r>
        <w:rPr>
          <w:rFonts w:ascii="仿宋_GB2312" w:eastAsia="仿宋_GB2312" w:cs="Times New Roman"/>
          <w:kern w:val="2"/>
          <w:sz w:val="30"/>
          <w:lang w:val="zh-CN"/>
        </w:rPr>
        <w:t>100</w:t>
      </w:r>
      <w:r>
        <w:rPr>
          <w:rFonts w:ascii="仿宋_GB2312" w:eastAsia="仿宋_GB2312" w:cs="Times New Roman"/>
          <w:kern w:val="2"/>
          <w:sz w:val="30"/>
        </w:rPr>
        <w:t>.00</w:t>
      </w:r>
      <w:r>
        <w:rPr>
          <w:rFonts w:ascii="仿宋_GB2312" w:eastAsia="仿宋_GB2312" w:cs="Times New Roman"/>
          <w:kern w:val="2"/>
          <w:sz w:val="30"/>
          <w:lang w:val="zh-CN"/>
        </w:rPr>
        <w:t>%</w:t>
      </w:r>
      <w:r>
        <w:rPr>
          <w:rFonts w:ascii="仿宋_GB2312" w:eastAsia="仿宋_GB2312" w:cs="Times New Roman" w:hint="eastAsia"/>
          <w:kern w:val="2"/>
          <w:sz w:val="30"/>
          <w:lang w:val="zh-CN"/>
        </w:rPr>
        <w:t>，授予小微企</w:t>
      </w:r>
      <w:r>
        <w:rPr>
          <w:rFonts w:ascii="仿宋_GB2312" w:eastAsia="仿宋_GB2312" w:cs="Times New Roman" w:hint="eastAsia"/>
          <w:kern w:val="2"/>
          <w:sz w:val="30"/>
          <w:lang w:val="zh-CN"/>
        </w:rPr>
        <w:lastRenderedPageBreak/>
        <w:t>业合同金额</w:t>
      </w:r>
      <w:r>
        <w:rPr>
          <w:rFonts w:ascii="仿宋_GB2312" w:eastAsia="仿宋_GB2312" w:cs="Times New Roman"/>
          <w:kern w:val="2"/>
          <w:sz w:val="30"/>
          <w:lang w:val="zh-CN"/>
        </w:rPr>
        <w:t>0.00</w:t>
      </w:r>
      <w:r>
        <w:rPr>
          <w:rFonts w:ascii="仿宋_GB2312" w:eastAsia="仿宋_GB2312" w:cs="Times New Roman" w:hint="eastAsia"/>
          <w:kern w:val="2"/>
          <w:sz w:val="30"/>
          <w:lang w:val="zh-CN"/>
        </w:rPr>
        <w:t>元，占政府采购支出总额的</w:t>
      </w:r>
      <w:r>
        <w:rPr>
          <w:rFonts w:ascii="仿宋_GB2312" w:eastAsia="仿宋_GB2312" w:cs="Times New Roman"/>
          <w:kern w:val="2"/>
          <w:sz w:val="30"/>
          <w:lang w:val="zh-CN"/>
        </w:rPr>
        <w:t>0.00%</w:t>
      </w:r>
      <w:r>
        <w:rPr>
          <w:rFonts w:ascii="仿宋_GB2312" w:eastAsia="仿宋_GB2312" w:cs="Times New Roman" w:hint="eastAsia"/>
          <w:kern w:val="2"/>
          <w:sz w:val="30"/>
          <w:lang w:val="zh-CN"/>
        </w:rPr>
        <w:t>。货物采购授予中小企业合同金额占货物支出金额的</w:t>
      </w:r>
      <w:r>
        <w:rPr>
          <w:rFonts w:ascii="仿宋_GB2312" w:eastAsia="仿宋_GB2312" w:cs="Times New Roman"/>
          <w:kern w:val="2"/>
          <w:sz w:val="30"/>
          <w:lang w:val="zh-CN"/>
        </w:rPr>
        <w:t>25</w:t>
      </w:r>
      <w:r>
        <w:rPr>
          <w:rFonts w:ascii="仿宋_GB2312" w:eastAsia="仿宋_GB2312" w:cs="Times New Roman"/>
          <w:kern w:val="2"/>
          <w:sz w:val="30"/>
        </w:rPr>
        <w:t>.00</w:t>
      </w:r>
      <w:r>
        <w:rPr>
          <w:rFonts w:ascii="仿宋_GB2312" w:eastAsia="仿宋_GB2312" w:cs="Times New Roman"/>
          <w:kern w:val="2"/>
          <w:sz w:val="30"/>
          <w:lang w:val="zh-CN"/>
        </w:rPr>
        <w:t>%</w:t>
      </w:r>
      <w:r>
        <w:rPr>
          <w:rFonts w:ascii="仿宋_GB2312" w:eastAsia="仿宋_GB2312" w:cs="Times New Roman" w:hint="eastAsia"/>
          <w:kern w:val="2"/>
          <w:sz w:val="30"/>
          <w:lang w:val="zh-CN"/>
        </w:rPr>
        <w:t>，工程采购授予中小企业合同金额占工程支出金额的</w:t>
      </w:r>
      <w:r>
        <w:rPr>
          <w:rFonts w:ascii="仿宋_GB2312" w:eastAsia="仿宋_GB2312" w:cs="Times New Roman"/>
          <w:kern w:val="2"/>
          <w:sz w:val="30"/>
          <w:lang w:val="zh-CN"/>
        </w:rPr>
        <w:t>0.00%</w:t>
      </w:r>
      <w:r>
        <w:rPr>
          <w:rFonts w:ascii="仿宋_GB2312" w:eastAsia="仿宋_GB2312" w:cs="Times New Roman" w:hint="eastAsia"/>
          <w:kern w:val="2"/>
          <w:sz w:val="30"/>
          <w:lang w:val="zh-CN"/>
        </w:rPr>
        <w:t>，服务采购授予中小企业合同金额占服务支出金额的</w:t>
      </w:r>
      <w:r>
        <w:rPr>
          <w:rFonts w:ascii="仿宋_GB2312" w:eastAsia="仿宋_GB2312" w:cs="Times New Roman"/>
          <w:kern w:val="2"/>
          <w:sz w:val="30"/>
          <w:lang w:val="zh-CN"/>
        </w:rPr>
        <w:t>75</w:t>
      </w:r>
      <w:r>
        <w:rPr>
          <w:rFonts w:ascii="仿宋_GB2312" w:eastAsia="仿宋_GB2312" w:cs="Times New Roman"/>
          <w:kern w:val="2"/>
          <w:sz w:val="30"/>
        </w:rPr>
        <w:t>.00</w:t>
      </w:r>
      <w:r>
        <w:rPr>
          <w:rFonts w:ascii="仿宋_GB2312" w:eastAsia="仿宋_GB2312" w:cs="Times New Roman"/>
          <w:kern w:val="2"/>
          <w:sz w:val="30"/>
          <w:lang w:val="zh-CN"/>
        </w:rPr>
        <w:t>%</w:t>
      </w:r>
      <w:r>
        <w:rPr>
          <w:rFonts w:ascii="仿宋_GB2312" w:eastAsia="仿宋_GB2312" w:cs="Times New Roman" w:hint="eastAsia"/>
          <w:kern w:val="2"/>
          <w:sz w:val="30"/>
          <w:lang w:val="zh-CN"/>
        </w:rPr>
        <w:t>。</w:t>
      </w:r>
    </w:p>
    <w:p w14:paraId="534669F3" w14:textId="77777777" w:rsidR="00AE3E76" w:rsidRDefault="00AE3E76">
      <w:pPr>
        <w:spacing w:line="600" w:lineRule="exact"/>
        <w:ind w:firstLine="600"/>
        <w:rPr>
          <w:rFonts w:ascii="黑体" w:eastAsia="黑体" w:hAnsi="黑体" w:hint="eastAsia"/>
          <w:b/>
          <w:sz w:val="30"/>
        </w:rPr>
      </w:pPr>
      <w:r>
        <w:rPr>
          <w:rFonts w:ascii="黑体" w:eastAsia="黑体" w:hAnsi="黑体" w:hint="eastAsia"/>
          <w:b/>
          <w:sz w:val="30"/>
          <w:lang w:val="zh-CN"/>
        </w:rPr>
        <w:t>十二、</w:t>
      </w:r>
      <w:r>
        <w:rPr>
          <w:rFonts w:ascii="黑体" w:eastAsia="黑体" w:hAnsi="黑体" w:hint="eastAsia"/>
          <w:b/>
          <w:sz w:val="30"/>
        </w:rPr>
        <w:t>国有资产占有使用情况说明</w:t>
      </w:r>
    </w:p>
    <w:p w14:paraId="4F5B7661"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截至</w:t>
      </w:r>
      <w:r>
        <w:rPr>
          <w:rFonts w:ascii="仿宋_GB2312" w:eastAsia="仿宋_GB2312" w:cs="Times New Roman"/>
          <w:kern w:val="2"/>
          <w:sz w:val="30"/>
          <w:lang w:val="zh-CN"/>
        </w:rPr>
        <w:t>2022</w:t>
      </w:r>
      <w:r>
        <w:rPr>
          <w:rFonts w:ascii="仿宋_GB2312" w:eastAsia="仿宋_GB2312" w:cs="Times New Roman" w:hint="eastAsia"/>
          <w:kern w:val="2"/>
          <w:sz w:val="30"/>
          <w:lang w:val="zh-CN"/>
        </w:rPr>
        <w:t>年</w:t>
      </w:r>
      <w:r>
        <w:rPr>
          <w:rFonts w:ascii="仿宋_GB2312" w:eastAsia="仿宋_GB2312" w:cs="Times New Roman"/>
          <w:kern w:val="2"/>
          <w:sz w:val="30"/>
          <w:lang w:val="zh-CN"/>
        </w:rPr>
        <w:t>12</w:t>
      </w:r>
      <w:r>
        <w:rPr>
          <w:rFonts w:ascii="仿宋_GB2312" w:eastAsia="仿宋_GB2312" w:cs="Times New Roman" w:hint="eastAsia"/>
          <w:kern w:val="2"/>
          <w:sz w:val="30"/>
          <w:lang w:val="zh-CN"/>
        </w:rPr>
        <w:t>月</w:t>
      </w:r>
      <w:r>
        <w:rPr>
          <w:rFonts w:ascii="仿宋_GB2312" w:eastAsia="仿宋_GB2312" w:cs="Times New Roman"/>
          <w:kern w:val="2"/>
          <w:sz w:val="30"/>
          <w:lang w:val="zh-CN"/>
        </w:rPr>
        <w:t>31</w:t>
      </w:r>
      <w:r>
        <w:rPr>
          <w:rFonts w:ascii="仿宋_GB2312" w:eastAsia="仿宋_GB2312" w:cs="Times New Roman" w:hint="eastAsia"/>
          <w:kern w:val="2"/>
          <w:sz w:val="30"/>
          <w:lang w:val="zh-CN"/>
        </w:rPr>
        <w:t>日，天津市化学工业学校共有车辆</w:t>
      </w:r>
      <w:r>
        <w:rPr>
          <w:rFonts w:ascii="仿宋_GB2312" w:eastAsia="仿宋_GB2312" w:cs="Times New Roman"/>
          <w:kern w:val="2"/>
          <w:sz w:val="30"/>
          <w:lang w:val="zh-CN"/>
        </w:rPr>
        <w:t>2</w:t>
      </w:r>
      <w:r>
        <w:rPr>
          <w:rFonts w:ascii="仿宋_GB2312" w:eastAsia="仿宋_GB2312" w:cs="Times New Roman" w:hint="eastAsia"/>
          <w:kern w:val="2"/>
          <w:sz w:val="30"/>
          <w:lang w:val="zh-CN"/>
        </w:rPr>
        <w:t>辆，其中：其他用车</w:t>
      </w:r>
      <w:r>
        <w:rPr>
          <w:rFonts w:ascii="仿宋_GB2312" w:eastAsia="仿宋_GB2312" w:cs="Times New Roman"/>
          <w:kern w:val="2"/>
          <w:sz w:val="30"/>
          <w:lang w:val="zh-CN"/>
        </w:rPr>
        <w:t>2</w:t>
      </w:r>
      <w:r>
        <w:rPr>
          <w:rFonts w:ascii="仿宋_GB2312" w:eastAsia="仿宋_GB2312" w:cs="Times New Roman" w:hint="eastAsia"/>
          <w:kern w:val="2"/>
          <w:sz w:val="30"/>
          <w:lang w:val="zh-CN"/>
        </w:rPr>
        <w:t>辆，其他用车主要包括小轿车</w:t>
      </w:r>
      <w:r>
        <w:rPr>
          <w:rFonts w:ascii="仿宋_GB2312" w:eastAsia="仿宋_GB2312" w:cs="Times New Roman"/>
          <w:kern w:val="2"/>
          <w:sz w:val="30"/>
          <w:lang w:val="zh-CN"/>
        </w:rPr>
        <w:t>2</w:t>
      </w:r>
      <w:r>
        <w:rPr>
          <w:rFonts w:ascii="仿宋_GB2312" w:eastAsia="仿宋_GB2312" w:cs="Times New Roman" w:hint="eastAsia"/>
          <w:kern w:val="2"/>
          <w:sz w:val="30"/>
          <w:lang w:val="zh-CN"/>
        </w:rPr>
        <w:t>辆，单价</w:t>
      </w:r>
      <w:r>
        <w:rPr>
          <w:rFonts w:ascii="仿宋_GB2312" w:eastAsia="仿宋_GB2312" w:cs="Times New Roman"/>
          <w:kern w:val="2"/>
          <w:sz w:val="30"/>
          <w:lang w:val="zh-CN"/>
        </w:rPr>
        <w:t>100</w:t>
      </w:r>
      <w:r>
        <w:rPr>
          <w:rFonts w:ascii="仿宋_GB2312" w:eastAsia="仿宋_GB2312" w:cs="Times New Roman" w:hint="eastAsia"/>
          <w:kern w:val="2"/>
          <w:sz w:val="30"/>
          <w:lang w:val="zh-CN"/>
        </w:rPr>
        <w:t>万元以上的设备</w:t>
      </w:r>
      <w:r>
        <w:rPr>
          <w:rFonts w:ascii="仿宋_GB2312" w:eastAsia="仿宋_GB2312" w:cs="Times New Roman"/>
          <w:kern w:val="2"/>
          <w:sz w:val="30"/>
          <w:lang w:val="zh-CN"/>
        </w:rPr>
        <w:t>0</w:t>
      </w:r>
      <w:r>
        <w:rPr>
          <w:rFonts w:ascii="仿宋_GB2312" w:eastAsia="仿宋_GB2312" w:cs="Times New Roman" w:hint="eastAsia"/>
          <w:kern w:val="2"/>
          <w:sz w:val="30"/>
          <w:lang w:val="zh-CN"/>
        </w:rPr>
        <w:t>台（套）。</w:t>
      </w:r>
    </w:p>
    <w:p w14:paraId="02D93EAF" w14:textId="77777777" w:rsidR="00AE3E76" w:rsidRDefault="00AE3E76">
      <w:pPr>
        <w:spacing w:line="600" w:lineRule="exact"/>
        <w:ind w:firstLine="600"/>
        <w:rPr>
          <w:rFonts w:ascii="黑体" w:eastAsia="黑体" w:hAnsi="黑体" w:hint="eastAsia"/>
          <w:b/>
          <w:sz w:val="30"/>
          <w:lang w:val="zh-CN"/>
        </w:rPr>
      </w:pPr>
      <w:r>
        <w:rPr>
          <w:rFonts w:ascii="黑体" w:eastAsia="黑体" w:hAnsi="黑体" w:hint="eastAsia"/>
          <w:b/>
          <w:sz w:val="30"/>
          <w:lang w:val="zh-CN"/>
        </w:rPr>
        <w:t>十三、预算绩效情况说明</w:t>
      </w:r>
    </w:p>
    <w:p w14:paraId="63467213"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根据预算绩效管理要求，天津市天津市化学工业学校</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年度已对</w:t>
      </w:r>
      <w:r>
        <w:rPr>
          <w:rFonts w:ascii="仿宋_GB2312" w:eastAsia="仿宋_GB2312" w:cs="Times New Roman"/>
          <w:kern w:val="2"/>
          <w:sz w:val="30"/>
          <w:lang w:val="zh-CN"/>
        </w:rPr>
        <w:t>7</w:t>
      </w:r>
      <w:r>
        <w:rPr>
          <w:rFonts w:ascii="仿宋_GB2312" w:eastAsia="仿宋_GB2312" w:cs="Times New Roman" w:hint="eastAsia"/>
          <w:kern w:val="2"/>
          <w:sz w:val="30"/>
          <w:lang w:val="zh-CN"/>
        </w:rPr>
        <w:t>个市级项目开展绩效自评，涉及金额</w:t>
      </w:r>
      <w:r>
        <w:rPr>
          <w:rFonts w:ascii="仿宋_GB2312" w:eastAsia="仿宋_GB2312" w:cs="Times New Roman"/>
          <w:kern w:val="2"/>
          <w:sz w:val="30"/>
          <w:lang w:val="zh-CN"/>
        </w:rPr>
        <w:t>4,454,904.75</w:t>
      </w:r>
      <w:r>
        <w:rPr>
          <w:rFonts w:ascii="仿宋_GB2312" w:eastAsia="仿宋_GB2312" w:cs="Times New Roman" w:hint="eastAsia"/>
          <w:kern w:val="2"/>
          <w:sz w:val="30"/>
          <w:lang w:val="zh-CN"/>
        </w:rPr>
        <w:t>元，自评结果已随部门决算一并公开。</w:t>
      </w:r>
    </w:p>
    <w:p w14:paraId="20932D15" w14:textId="77777777" w:rsidR="00AE3E76" w:rsidRDefault="00AE3E76">
      <w:pPr>
        <w:spacing w:line="600" w:lineRule="exact"/>
        <w:ind w:firstLine="600"/>
        <w:rPr>
          <w:rFonts w:ascii="黑体" w:eastAsia="黑体" w:hAnsi="黑体" w:hint="eastAsia"/>
          <w:b/>
          <w:sz w:val="30"/>
        </w:rPr>
      </w:pPr>
      <w:r>
        <w:rPr>
          <w:rFonts w:ascii="黑体" w:eastAsia="黑体" w:hAnsi="黑体" w:hint="eastAsia"/>
          <w:b/>
          <w:sz w:val="30"/>
          <w:lang w:val="zh-CN"/>
        </w:rPr>
        <w:t>十四、</w:t>
      </w:r>
      <w:r>
        <w:rPr>
          <w:rFonts w:ascii="黑体" w:eastAsia="黑体" w:hAnsi="黑体" w:hint="eastAsia"/>
          <w:b/>
          <w:sz w:val="30"/>
        </w:rPr>
        <w:t>教育、医疗卫生、社会保障和就业、住房保障、涉农补贴等民生支出情况说明</w:t>
      </w:r>
    </w:p>
    <w:p w14:paraId="49353181" w14:textId="77777777" w:rsidR="00AE3E76" w:rsidRDefault="00AE3E76">
      <w:pPr>
        <w:spacing w:line="600" w:lineRule="exact"/>
        <w:ind w:firstLine="600"/>
        <w:rPr>
          <w:rFonts w:ascii="仿宋_GB2312" w:eastAsia="仿宋_GB2312" w:cs="Times New Roman"/>
          <w:kern w:val="2"/>
          <w:sz w:val="30"/>
          <w:lang w:val="zh-CN"/>
        </w:rPr>
      </w:pPr>
      <w:r>
        <w:rPr>
          <w:rFonts w:ascii="仿宋_GB2312" w:eastAsia="仿宋_GB2312" w:cs="Times New Roman" w:hint="eastAsia"/>
          <w:kern w:val="2"/>
          <w:sz w:val="30"/>
          <w:lang w:val="zh-CN"/>
        </w:rPr>
        <w:t>天津市化学工业学校不属于乡、镇、街级单位，不涉及公开</w:t>
      </w:r>
      <w:r>
        <w:rPr>
          <w:rFonts w:ascii="仿宋_GB2312" w:eastAsia="仿宋_GB2312" w:cs="Times New Roman"/>
          <w:kern w:val="2"/>
          <w:sz w:val="30"/>
          <w:lang w:val="zh-CN"/>
        </w:rPr>
        <w:t>2022</w:t>
      </w:r>
      <w:r>
        <w:rPr>
          <w:rFonts w:ascii="仿宋_GB2312" w:eastAsia="仿宋_GB2312" w:cs="Times New Roman" w:hint="eastAsia"/>
          <w:kern w:val="2"/>
          <w:sz w:val="30"/>
          <w:lang w:val="zh-CN"/>
        </w:rPr>
        <w:t>年度教育、医疗卫生、社会保障和就业、住房保障、涉农补贴等民生支出情况。</w:t>
      </w:r>
    </w:p>
    <w:p w14:paraId="18B90885" w14:textId="77777777" w:rsidR="00AE3E76" w:rsidRDefault="00AE3E76">
      <w:pPr>
        <w:rPr>
          <w:rFonts w:ascii="仿宋_GB2312" w:eastAsia="仿宋_GB2312" w:hAnsi="仿宋_GB2312" w:hint="eastAsia"/>
          <w:b/>
          <w:color w:val="000000"/>
          <w:sz w:val="30"/>
        </w:rPr>
      </w:pPr>
      <w:r>
        <w:rPr>
          <w:rFonts w:ascii="仿宋_GB2312" w:eastAsia="仿宋_GB2312" w:hAnsi="仿宋_GB2312"/>
          <w:b/>
          <w:color w:val="000000"/>
          <w:sz w:val="30"/>
        </w:rPr>
        <w:br w:type="page"/>
      </w:r>
    </w:p>
    <w:p w14:paraId="0D8883F3" w14:textId="77777777" w:rsidR="00AE3E76" w:rsidRDefault="00AE3E76">
      <w:pPr>
        <w:pStyle w:val="1"/>
        <w:keepNext/>
        <w:keepLines/>
        <w:spacing w:line="600" w:lineRule="exact"/>
        <w:jc w:val="center"/>
        <w:rPr>
          <w:rFonts w:ascii="方正小标宋简体" w:eastAsia="方正小标宋简体" w:hAnsi="方正小标宋简体" w:hint="eastAsia"/>
          <w:kern w:val="44"/>
          <w:sz w:val="44"/>
        </w:rPr>
      </w:pPr>
      <w:r>
        <w:rPr>
          <w:rFonts w:ascii="方正小标宋简体" w:eastAsia="方正小标宋简体" w:hAnsi="方正小标宋简体" w:hint="eastAsia"/>
          <w:kern w:val="44"/>
          <w:sz w:val="44"/>
        </w:rPr>
        <w:t>第四部分  名词解释</w:t>
      </w:r>
    </w:p>
    <w:p w14:paraId="493ACC81" w14:textId="77777777" w:rsidR="00AE3E76" w:rsidRDefault="00AE3E76">
      <w:pPr>
        <w:spacing w:line="600" w:lineRule="exact"/>
        <w:ind w:firstLine="600"/>
        <w:rPr>
          <w:rFonts w:ascii="仿宋_GB2312" w:eastAsia="仿宋_GB2312" w:hAnsi="仿宋_GB2312" w:hint="eastAsia"/>
          <w:sz w:val="30"/>
        </w:rPr>
      </w:pPr>
    </w:p>
    <w:p w14:paraId="6FC458C9" w14:textId="77777777" w:rsidR="00AE3E76" w:rsidRDefault="00AE3E76">
      <w:pPr>
        <w:spacing w:line="600" w:lineRule="exact"/>
        <w:ind w:firstLine="600"/>
        <w:rPr>
          <w:rFonts w:ascii="仿宋_GB2312" w:eastAsia="仿宋_GB2312" w:cs="Times New Roman"/>
          <w:sz w:val="30"/>
        </w:rPr>
      </w:pPr>
      <w:r>
        <w:rPr>
          <w:rFonts w:ascii="仿宋_GB2312" w:eastAsia="仿宋_GB2312" w:cs="Times New Roman"/>
          <w:sz w:val="30"/>
        </w:rPr>
        <w:t>1.</w:t>
      </w:r>
      <w:r>
        <w:rPr>
          <w:rFonts w:ascii="仿宋_GB2312" w:eastAsia="仿宋_GB2312" w:cs="Times New Roman" w:hint="eastAsia"/>
          <w:sz w:val="30"/>
        </w:rPr>
        <w:t>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5A8F14BF" w14:textId="77777777" w:rsidR="00AE3E76" w:rsidRDefault="00AE3E76">
      <w:pPr>
        <w:spacing w:line="600" w:lineRule="exact"/>
        <w:ind w:firstLine="600"/>
        <w:rPr>
          <w:rFonts w:ascii="仿宋_GB2312" w:eastAsia="仿宋_GB2312" w:cs="Times New Roman"/>
          <w:sz w:val="30"/>
        </w:rPr>
      </w:pPr>
      <w:r>
        <w:rPr>
          <w:rFonts w:ascii="仿宋_GB2312" w:eastAsia="仿宋_GB2312" w:cs="Times New Roman"/>
          <w:sz w:val="30"/>
        </w:rPr>
        <w:t>2.</w:t>
      </w:r>
      <w:r>
        <w:rPr>
          <w:rFonts w:ascii="仿宋_GB2312" w:eastAsia="仿宋_GB2312" w:cs="Times New Roman" w:hint="eastAsia"/>
          <w:sz w:val="30"/>
        </w:rPr>
        <w:t>机关运行经费。反映为保障行政单位（含参照公务员管理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3E1BDBCC" w14:textId="77777777" w:rsidR="00AE3E76" w:rsidRDefault="00AE3E76">
      <w:pPr>
        <w:spacing w:line="600" w:lineRule="exact"/>
        <w:ind w:firstLine="600"/>
        <w:rPr>
          <w:rFonts w:ascii="仿宋_GB2312" w:eastAsia="仿宋_GB2312" w:cs="Times New Roman"/>
          <w:sz w:val="30"/>
        </w:rPr>
      </w:pPr>
      <w:r>
        <w:rPr>
          <w:rFonts w:ascii="仿宋_GB2312" w:eastAsia="仿宋_GB2312" w:cs="Times New Roman"/>
          <w:sz w:val="30"/>
        </w:rPr>
        <w:t>3.</w:t>
      </w:r>
      <w:r>
        <w:rPr>
          <w:rFonts w:ascii="仿宋_GB2312" w:eastAsia="仿宋_GB2312" w:cs="Times New Roman" w:hint="eastAsia"/>
          <w:sz w:val="30"/>
        </w:rPr>
        <w:t>“三公”经费。是指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安全奖励费用等支出；公务接待费反映单位按规定开支的各类公务接待（含外宾接待）支出。</w:t>
      </w:r>
    </w:p>
    <w:p w14:paraId="4DCBF6FA" w14:textId="77777777" w:rsidR="00AE3E76" w:rsidRDefault="00AE3E76">
      <w:pPr>
        <w:spacing w:line="600" w:lineRule="exact"/>
        <w:ind w:firstLine="600"/>
        <w:rPr>
          <w:rFonts w:ascii="楷体" w:eastAsia="楷体" w:hAnsi="楷体" w:hint="eastAsia"/>
          <w:sz w:val="30"/>
        </w:rPr>
      </w:pPr>
    </w:p>
    <w:sectPr w:rsidR="00AE3E76">
      <w:footerReference w:type="default" r:id="rId10"/>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731DE" w14:textId="77777777" w:rsidR="00F73931" w:rsidRDefault="00F73931">
      <w:pPr>
        <w:rPr>
          <w:rFonts w:cs="Times New Roman"/>
        </w:rPr>
      </w:pPr>
      <w:r>
        <w:rPr>
          <w:rFonts w:cs="Times New Roman"/>
        </w:rPr>
        <w:separator/>
      </w:r>
    </w:p>
  </w:endnote>
  <w:endnote w:type="continuationSeparator" w:id="0">
    <w:p w14:paraId="059955BB" w14:textId="77777777" w:rsidR="00F73931" w:rsidRDefault="00F7393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宋体">
    <w:altName w:val="宋体"/>
    <w:panose1 w:val="02010600030101010101"/>
    <w:charset w:val="86"/>
    <w:family w:val="auto"/>
    <w:pitch w:val="variable"/>
    <w:sig w:usb0="00000203" w:usb1="288F0000" w:usb2="00000016" w:usb3="00000000" w:csb0="00040001" w:csb1="00000000"/>
  </w:font>
  <w:font w:name="Sakkal Majalla">
    <w:altName w:val="Wide Latin"/>
    <w:charset w:val="B2"/>
    <w:family w:val="auto"/>
    <w:pitch w:val="variable"/>
    <w:sig w:usb0="80002007" w:usb1="80000000" w:usb2="00000008" w:usb3="00000000" w:csb0="000000D3" w:csb1="00000000"/>
  </w:font>
  <w:font w:name="Calibri Light">
    <w:altName w:val="Calibri Light"/>
    <w:panose1 w:val="020F0302020204030204"/>
    <w:charset w:val="00"/>
    <w:family w:val="swiss"/>
    <w:pitch w:val="variable"/>
    <w:sig w:usb0="E4002EFF" w:usb1="C200247B" w:usb2="00000009" w:usb3="00000000" w:csb0="000001FF" w:csb1="00000000"/>
  </w:font>
  <w:font w:name="黑体">
    <w:altName w:val="黑体"/>
    <w:panose1 w:val="02010609060101010101"/>
    <w:charset w:val="86"/>
    <w:family w:val="modern"/>
    <w:pitch w:val="fixed"/>
    <w:sig w:usb0="800002BF" w:usb1="38CF7CFA" w:usb2="00000016" w:usb3="00000000" w:csb0="00040001" w:csb1="00000000"/>
  </w:font>
  <w:font w:name="方正小标宋简体">
    <w:altName w:val="方正舒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159BC1" w14:textId="77777777" w:rsidR="00AE3E76" w:rsidRDefault="00AE3E76">
    <w:pPr>
      <w:pStyle w:val="a5"/>
    </w:pPr>
  </w:p>
  <w:p w14:paraId="0604F5F0" w14:textId="77777777" w:rsidR="00AE3E76" w:rsidRDefault="00AE3E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6E5B7" w14:textId="77777777" w:rsidR="00AE3E76" w:rsidRDefault="00AE3E76">
    <w:pPr>
      <w:pStyle w:val="a5"/>
    </w:pPr>
  </w:p>
  <w:p w14:paraId="4C57906C" w14:textId="77777777" w:rsidR="00AE3E76" w:rsidRDefault="00AE3E7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B57A1" w14:textId="77777777" w:rsidR="00AE3E76" w:rsidRDefault="00AE3E76">
    <w:pPr>
      <w:pStyle w:val="a5"/>
    </w:pPr>
  </w:p>
  <w:p w14:paraId="2A8D9421" w14:textId="77777777" w:rsidR="00AE3E76" w:rsidRDefault="00AE3E76">
    <w:pPr>
      <w:pStyle w:val="a5"/>
      <w:tabs>
        <w:tab w:val="clear" w:pos="4153"/>
        <w:tab w:val="center" w:pos="4320"/>
      </w:tabs>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33193" w14:textId="77777777" w:rsidR="00AE3E76" w:rsidRDefault="00AE3E76">
    <w:pPr>
      <w:pStyle w:val="a5"/>
    </w:pPr>
  </w:p>
  <w:p w14:paraId="1711C300" w14:textId="10CF0AB6" w:rsidR="00AE3E76" w:rsidRDefault="004F57E0">
    <w:pPr>
      <w:pStyle w:val="a5"/>
      <w:tabs>
        <w:tab w:val="clear" w:pos="4153"/>
        <w:tab w:val="center" w:pos="4320"/>
      </w:tabs>
    </w:pPr>
    <w:r>
      <w:rPr>
        <w:noProof/>
      </w:rPr>
      <mc:AlternateContent>
        <mc:Choice Requires="wps">
          <w:drawing>
            <wp:anchor distT="0" distB="0" distL="114300" distR="114300" simplePos="0" relativeHeight="251659264" behindDoc="0" locked="0" layoutInCell="1" allowOverlap="1" wp14:anchorId="3052DAFB" wp14:editId="40FBA3FD">
              <wp:simplePos x="0" y="0"/>
              <wp:positionH relativeFrom="margin">
                <wp:align>center</wp:align>
              </wp:positionH>
              <wp:positionV relativeFrom="paragraph">
                <wp:posOffset>0</wp:posOffset>
              </wp:positionV>
              <wp:extent cx="57785" cy="131445"/>
              <wp:effectExtent l="0" t="0" r="0" b="0"/>
              <wp:wrapNone/>
              <wp:docPr id="77331709"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5728" w14:textId="77777777" w:rsidR="00AE3E76" w:rsidRDefault="00AE3E76">
                          <w:pPr>
                            <w:pStyle w:val="a5"/>
                          </w:pPr>
                          <w:r>
                            <w:fldChar w:fldCharType="begin"/>
                          </w:r>
                          <w:r>
                            <w:instrText xml:space="preserve"> PAGE  \* MERGEFORMAT </w:instrText>
                          </w:r>
                          <w:r>
                            <w:fldChar w:fldCharType="separate"/>
                          </w:r>
                          <w:r w:rsidR="00925405">
                            <w:rPr>
                              <w:noProof/>
                            </w:rPr>
                            <w:t>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52DAFB" id="_x0000_t202" coordsize="21600,21600" o:spt="202" path="m,l,21600r21600,l21600,xe">
              <v:stroke joinstyle="miter"/>
              <v:path gradientshapeok="t" o:connecttype="rect"/>
            </v:shapetype>
            <v:shape id="文本框 3" o:spid="_x0000_s1026" type="#_x0000_t202" style="position:absolute;margin-left:0;margin-top:0;width:4.55pt;height:10.3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" filled="f" stroked="f">
              <v:textbox style="mso-fit-shape-to-text:t" inset="0,0,0,0">
                <w:txbxContent>
                  <w:p w14:paraId="65C95728" w14:textId="77777777" w:rsidR="00AE3E76" w:rsidRDefault="00AE3E76">
                    <w:pPr>
                      <w:pStyle w:val="a5"/>
                    </w:pPr>
                    <w:r>
                      <w:fldChar w:fldCharType="begin"/>
                    </w:r>
                    <w:r>
                      <w:instrText xml:space="preserve"> PAGE  \* MERGEFORMAT </w:instrText>
                    </w:r>
                    <w:r>
                      <w:fldChar w:fldCharType="separate"/>
                    </w:r>
                    <w:r w:rsidR="00925405">
                      <w:rPr>
                        <w:noProof/>
                      </w:rPr>
                      <w:t>9</w:t>
                    </w:r>
                    <w:r>
                      <w:fldChar w:fldCharType="end"/>
                    </w:r>
                  </w:p>
                </w:txbxContent>
              </v:textbox>
              <w10:wrap anchorx="margin"/>
            </v:shape>
          </w:pict>
        </mc:Fallback>
      </mc:AlternateContent>
    </w:r>
    <w:r w:rsidR="00AE3E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FB1077" w14:textId="77777777" w:rsidR="00F73931" w:rsidRDefault="00F73931">
      <w:pPr>
        <w:rPr>
          <w:rFonts w:cs="Times New Roman"/>
        </w:rPr>
      </w:pPr>
      <w:r>
        <w:rPr>
          <w:rFonts w:cs="Times New Roman"/>
        </w:rPr>
        <w:separator/>
      </w:r>
    </w:p>
  </w:footnote>
  <w:footnote w:type="continuationSeparator" w:id="0">
    <w:p w14:paraId="76675D86" w14:textId="77777777" w:rsidR="00F73931" w:rsidRDefault="00F73931">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00"/>
        </w:tabs>
        <w:ind w:left="1200"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num w:numId="1" w16cid:durableId="380204993">
    <w:abstractNumId w:val="8"/>
  </w:num>
  <w:num w:numId="2" w16cid:durableId="1838030418">
    <w:abstractNumId w:val="3"/>
  </w:num>
  <w:num w:numId="3" w16cid:durableId="1462771436">
    <w:abstractNumId w:val="2"/>
  </w:num>
  <w:num w:numId="4" w16cid:durableId="1749572520">
    <w:abstractNumId w:val="1"/>
  </w:num>
  <w:num w:numId="5" w16cid:durableId="200558932">
    <w:abstractNumId w:val="0"/>
  </w:num>
  <w:num w:numId="6" w16cid:durableId="1808547939">
    <w:abstractNumId w:val="9"/>
  </w:num>
  <w:num w:numId="7" w16cid:durableId="1707101582">
    <w:abstractNumId w:val="7"/>
  </w:num>
  <w:num w:numId="8" w16cid:durableId="25496595">
    <w:abstractNumId w:val="6"/>
  </w:num>
  <w:num w:numId="9" w16cid:durableId="1961568250">
    <w:abstractNumId w:val="5"/>
  </w:num>
  <w:num w:numId="10" w16cid:durableId="1558281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MxNDQ4YzMzYjUyZmM0NzdmNzM1OTFhMzE3Nzc2YWYifQ=="/>
  </w:docVars>
  <w:rsids>
    <w:rsidRoot w:val="00925405"/>
    <w:rsid w:val="000F6D8B"/>
    <w:rsid w:val="00167096"/>
    <w:rsid w:val="004F57E0"/>
    <w:rsid w:val="00925405"/>
    <w:rsid w:val="00AE3E76"/>
    <w:rsid w:val="00F73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34BA235"/>
  <w14:defaultImageDpi w14:val="0"/>
  <w15:docId w15:val="{F9630F65-7BF3-4D3C-A820-A4477A26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sz w:val="21"/>
        <w:szCs w:val="21"/>
        <w:lang w:val="en-US" w:eastAsia="zh-CN" w:bidi="ar-SA"/>
      </w:rPr>
    </w:rPrDefault>
    <w:pPrDefault/>
  </w:docDefaults>
  <w:latentStyles w:defLockedState="0" w:defUIPriority="99" w:defSemiHidden="0" w:defUnhideWhenUsed="0" w:defQFormat="1" w:count="376">
    <w:lsdException w:name="Normal" w:uiPriority="0"/>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annotation text" w:unhideWhenUsed="1"/>
    <w:lsdException w:name="header" w:unhideWhenUsed="1"/>
    <w:lsdException w:name="footer" w:unhideWhenUsed="1"/>
    <w:lsdException w:name="caption" w:semiHidden="1" w:unhideWhenUsed="1"/>
    <w:lsdException w:name="annotation reference" w:unhideWhenUsed="1"/>
    <w:lsdException w:name="Default Paragraph Font" w:unhideWhenUsed="1" w:qFormat="0"/>
    <w:lsdException w:name="HTML Top of Form" w:qFormat="0"/>
    <w:lsdException w:name="HTML Bottom of Form" w:qFormat="0"/>
    <w:lsdException w:name="annotation subject" w:unhideWhenUsed="1"/>
    <w:lsdException w:name="No List" w:semiHidden="1" w:unhideWhenUsed="1" w:qFormat="0"/>
    <w:lsdException w:name="Outline List 1" w:qFormat="0"/>
    <w:lsdException w:name="Outline List 2" w:qFormat="0"/>
    <w:lsdException w:name="Outline List 3" w:qFormat="0"/>
    <w:lsdException w:name="Balloon Text" w:unhideWhenUsed="1"/>
    <w:lsdException w:name="Placeholder Text" w:semiHidden="1" w:unhideWhenUsed="1" w:qFormat="0"/>
    <w:lsdException w:name="Revision"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nhideWhenUsed="1" w:qFormat="0"/>
    <w:lsdException w:name="Smart Hyperlink" w:semiHidden="1" w:unhideWhenUsed="1" w:qFormat="0"/>
    <w:lsdException w:name="Hashtag" w:semiHidden="1" w:unhideWhenUsed="1" w:qFormat="0"/>
    <w:lsdException w:name="Unresolved Mention" w:semiHidden="1" w:unhideWhenUsed="1" w:qFormat="0"/>
    <w:lsdException w:name="Smart Link" w:semiHidden="1" w:unhideWhenUsed="1" w:qFormat="0"/>
  </w:latentStyles>
  <w:style w:type="paragraph" w:default="1" w:styleId="a">
    <w:name w:val="Normal"/>
    <w:qFormat/>
    <w:pPr>
      <w:widowControl w:val="0"/>
      <w:autoSpaceDE w:val="0"/>
      <w:autoSpaceDN w:val="0"/>
      <w:adjustRightInd w:val="0"/>
    </w:pPr>
    <w:rPr>
      <w:rFonts w:cs="Sakkal Majalla"/>
      <w:kern w:val="0"/>
      <w:sz w:val="24"/>
      <w:szCs w:val="24"/>
    </w:rPr>
  </w:style>
  <w:style w:type="paragraph" w:styleId="1">
    <w:name w:val="heading 1"/>
    <w:basedOn w:val="a"/>
    <w:link w:val="10"/>
    <w:uiPriority w:val="99"/>
    <w:qFormat/>
    <w:pPr>
      <w:outlineLvl w:val="0"/>
    </w:pPr>
  </w:style>
  <w:style w:type="paragraph" w:styleId="2">
    <w:name w:val="heading 2"/>
    <w:basedOn w:val="a"/>
    <w:link w:val="20"/>
    <w:uiPriority w:val="99"/>
    <w:qFormat/>
    <w:pPr>
      <w:outlineLvl w:val="1"/>
    </w:pPr>
  </w:style>
  <w:style w:type="character" w:default="1" w:styleId="a0">
    <w:name w:val="Default Paragraph Font"/>
    <w:uiPriority w:val="99"/>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unhideWhenUsed/>
    <w:locked/>
    <w:rPr>
      <w:rFonts w:cs="Sakkal Majalla"/>
      <w:b/>
      <w:kern w:val="44"/>
      <w:sz w:val="44"/>
      <w:szCs w:val="44"/>
      <w:lang w:bidi="ar-SA"/>
    </w:rPr>
  </w:style>
  <w:style w:type="character" w:customStyle="1" w:styleId="20">
    <w:name w:val="标题 2 字符"/>
    <w:basedOn w:val="a0"/>
    <w:link w:val="2"/>
    <w:uiPriority w:val="9"/>
    <w:unhideWhenUsed/>
    <w:locked/>
    <w:rPr>
      <w:rFonts w:ascii="Calibri Light" w:hAnsi="Calibri Light" w:cs="Times New Roman"/>
      <w:b/>
      <w:sz w:val="32"/>
      <w:szCs w:val="32"/>
    </w:rPr>
  </w:style>
  <w:style w:type="character" w:customStyle="1" w:styleId="11">
    <w:name w:val="页眉 字符1"/>
    <w:basedOn w:val="a0"/>
    <w:link w:val="a3"/>
    <w:uiPriority w:val="99"/>
    <w:unhideWhenUsed/>
    <w:locked/>
    <w:rPr>
      <w:rFonts w:cs="Sakkal Majalla"/>
      <w:sz w:val="18"/>
      <w:szCs w:val="18"/>
      <w:lang w:bidi="ar-SA"/>
    </w:rPr>
  </w:style>
  <w:style w:type="character" w:styleId="a4">
    <w:name w:val="annotation reference"/>
    <w:basedOn w:val="a0"/>
    <w:uiPriority w:val="99"/>
    <w:unhideWhenUsed/>
    <w:qFormat/>
    <w:rPr>
      <w:rFonts w:cs="Times New Roman"/>
      <w:sz w:val="21"/>
      <w:szCs w:val="21"/>
    </w:rPr>
  </w:style>
  <w:style w:type="character" w:customStyle="1" w:styleId="12">
    <w:name w:val="页脚 字符1"/>
    <w:basedOn w:val="a0"/>
    <w:link w:val="a5"/>
    <w:uiPriority w:val="99"/>
    <w:unhideWhenUsed/>
    <w:locked/>
    <w:rPr>
      <w:rFonts w:cs="Sakkal Majalla"/>
      <w:sz w:val="18"/>
      <w:szCs w:val="18"/>
      <w:lang w:bidi="ar-SA"/>
    </w:rPr>
  </w:style>
  <w:style w:type="character" w:customStyle="1" w:styleId="13">
    <w:name w:val="批注文字 字符1"/>
    <w:basedOn w:val="a0"/>
    <w:link w:val="a6"/>
    <w:uiPriority w:val="99"/>
    <w:unhideWhenUsed/>
    <w:locked/>
    <w:rPr>
      <w:rFonts w:cs="Sakkal Majalla"/>
      <w:lang w:bidi="ar-SA"/>
    </w:rPr>
  </w:style>
  <w:style w:type="character" w:customStyle="1" w:styleId="14">
    <w:name w:val="批注主题 字符1"/>
    <w:basedOn w:val="13"/>
    <w:link w:val="a7"/>
    <w:uiPriority w:val="99"/>
    <w:unhideWhenUsed/>
    <w:locked/>
    <w:rPr>
      <w:rFonts w:cs="Sakkal Majalla"/>
      <w:b/>
      <w:lang w:bidi="ar-SA"/>
    </w:rPr>
  </w:style>
  <w:style w:type="character" w:customStyle="1" w:styleId="15">
    <w:name w:val="批注框文本 字符1"/>
    <w:basedOn w:val="a0"/>
    <w:link w:val="a8"/>
    <w:uiPriority w:val="99"/>
    <w:unhideWhenUsed/>
    <w:locked/>
    <w:rPr>
      <w:rFonts w:cs="Sakkal Majalla"/>
      <w:sz w:val="18"/>
      <w:szCs w:val="18"/>
      <w:lang w:bidi="ar-SA"/>
    </w:rPr>
  </w:style>
  <w:style w:type="paragraph" w:styleId="a6">
    <w:name w:val="annotation text"/>
    <w:basedOn w:val="a"/>
    <w:link w:val="13"/>
    <w:uiPriority w:val="99"/>
    <w:unhideWhenUsed/>
    <w:qFormat/>
  </w:style>
  <w:style w:type="character" w:customStyle="1" w:styleId="a9">
    <w:name w:val="批注文字 字符"/>
    <w:basedOn w:val="a0"/>
    <w:uiPriority w:val="99"/>
    <w:semiHidden/>
    <w:rPr>
      <w:rFonts w:cs="Sakkal Majalla"/>
      <w:kern w:val="0"/>
      <w:sz w:val="24"/>
      <w:szCs w:val="24"/>
    </w:rPr>
  </w:style>
  <w:style w:type="character" w:customStyle="1" w:styleId="3">
    <w:name w:val="批注文字 字符3"/>
    <w:basedOn w:val="a0"/>
    <w:uiPriority w:val="99"/>
    <w:semiHidden/>
    <w:rPr>
      <w:rFonts w:cs="Sakkal Majalla"/>
      <w:kern w:val="0"/>
      <w:sz w:val="24"/>
      <w:szCs w:val="24"/>
      <w:lang w:bidi="ar-SA"/>
    </w:rPr>
  </w:style>
  <w:style w:type="character" w:customStyle="1" w:styleId="21">
    <w:name w:val="批注文字 字符2"/>
    <w:basedOn w:val="a0"/>
    <w:uiPriority w:val="99"/>
    <w:semiHidden/>
    <w:rPr>
      <w:rFonts w:cs="Sakkal Majalla"/>
      <w:kern w:val="0"/>
      <w:sz w:val="24"/>
      <w:szCs w:val="24"/>
      <w:lang w:bidi="ar-SA"/>
    </w:rPr>
  </w:style>
  <w:style w:type="paragraph" w:styleId="a8">
    <w:name w:val="Balloon Text"/>
    <w:basedOn w:val="a"/>
    <w:link w:val="15"/>
    <w:uiPriority w:val="99"/>
    <w:unhideWhenUsed/>
    <w:qFormat/>
    <w:rPr>
      <w:sz w:val="18"/>
      <w:szCs w:val="18"/>
    </w:rPr>
  </w:style>
  <w:style w:type="character" w:customStyle="1" w:styleId="aa">
    <w:name w:val="批注框文本 字符"/>
    <w:basedOn w:val="a0"/>
    <w:uiPriority w:val="99"/>
    <w:semiHidden/>
    <w:rPr>
      <w:rFonts w:cs="Sakkal Majalla"/>
      <w:kern w:val="0"/>
      <w:sz w:val="18"/>
      <w:szCs w:val="18"/>
    </w:rPr>
  </w:style>
  <w:style w:type="character" w:customStyle="1" w:styleId="30">
    <w:name w:val="批注框文本 字符3"/>
    <w:basedOn w:val="a0"/>
    <w:uiPriority w:val="99"/>
    <w:semiHidden/>
    <w:rPr>
      <w:rFonts w:cs="Sakkal Majalla"/>
      <w:kern w:val="0"/>
      <w:sz w:val="18"/>
      <w:szCs w:val="18"/>
      <w:lang w:bidi="ar-SA"/>
    </w:rPr>
  </w:style>
  <w:style w:type="character" w:customStyle="1" w:styleId="22">
    <w:name w:val="批注框文本 字符2"/>
    <w:basedOn w:val="a0"/>
    <w:uiPriority w:val="99"/>
    <w:semiHidden/>
    <w:rPr>
      <w:rFonts w:cs="Sakkal Majalla"/>
      <w:kern w:val="0"/>
      <w:sz w:val="18"/>
      <w:szCs w:val="18"/>
      <w:lang w:bidi="ar-SA"/>
    </w:rPr>
  </w:style>
  <w:style w:type="paragraph" w:styleId="a5">
    <w:name w:val="footer"/>
    <w:basedOn w:val="a"/>
    <w:link w:val="12"/>
    <w:uiPriority w:val="99"/>
    <w:unhideWhenUsed/>
    <w:qFormat/>
    <w:pPr>
      <w:tabs>
        <w:tab w:val="center" w:pos="4153"/>
        <w:tab w:val="right" w:pos="8306"/>
      </w:tabs>
      <w:snapToGrid w:val="0"/>
    </w:pPr>
    <w:rPr>
      <w:sz w:val="18"/>
      <w:szCs w:val="18"/>
    </w:rPr>
  </w:style>
  <w:style w:type="character" w:customStyle="1" w:styleId="ab">
    <w:name w:val="页脚 字符"/>
    <w:basedOn w:val="a0"/>
    <w:uiPriority w:val="99"/>
    <w:semiHidden/>
    <w:rPr>
      <w:rFonts w:cs="Sakkal Majalla"/>
      <w:kern w:val="0"/>
      <w:sz w:val="18"/>
      <w:szCs w:val="18"/>
    </w:rPr>
  </w:style>
  <w:style w:type="character" w:customStyle="1" w:styleId="31">
    <w:name w:val="页脚 字符3"/>
    <w:basedOn w:val="a0"/>
    <w:uiPriority w:val="99"/>
    <w:semiHidden/>
    <w:rPr>
      <w:rFonts w:cs="Sakkal Majalla"/>
      <w:kern w:val="0"/>
      <w:sz w:val="18"/>
      <w:szCs w:val="18"/>
      <w:lang w:bidi="ar-SA"/>
    </w:rPr>
  </w:style>
  <w:style w:type="character" w:customStyle="1" w:styleId="23">
    <w:name w:val="页脚 字符2"/>
    <w:basedOn w:val="a0"/>
    <w:uiPriority w:val="99"/>
    <w:semiHidden/>
    <w:rPr>
      <w:rFonts w:cs="Sakkal Majalla"/>
      <w:kern w:val="0"/>
      <w:sz w:val="18"/>
      <w:szCs w:val="18"/>
      <w:lang w:bidi="ar-SA"/>
    </w:rPr>
  </w:style>
  <w:style w:type="paragraph" w:styleId="a3">
    <w:name w:val="header"/>
    <w:basedOn w:val="a"/>
    <w:link w:val="1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c">
    <w:name w:val="页眉 字符"/>
    <w:basedOn w:val="a0"/>
    <w:uiPriority w:val="99"/>
    <w:semiHidden/>
    <w:rPr>
      <w:rFonts w:cs="Sakkal Majalla"/>
      <w:kern w:val="0"/>
      <w:sz w:val="18"/>
      <w:szCs w:val="18"/>
    </w:rPr>
  </w:style>
  <w:style w:type="character" w:customStyle="1" w:styleId="32">
    <w:name w:val="页眉 字符3"/>
    <w:basedOn w:val="a0"/>
    <w:uiPriority w:val="99"/>
    <w:semiHidden/>
    <w:rPr>
      <w:rFonts w:cs="Sakkal Majalla"/>
      <w:kern w:val="0"/>
      <w:sz w:val="18"/>
      <w:szCs w:val="18"/>
      <w:lang w:bidi="ar-SA"/>
    </w:rPr>
  </w:style>
  <w:style w:type="character" w:customStyle="1" w:styleId="24">
    <w:name w:val="页眉 字符2"/>
    <w:basedOn w:val="a0"/>
    <w:uiPriority w:val="99"/>
    <w:semiHidden/>
    <w:rPr>
      <w:rFonts w:cs="Sakkal Majalla"/>
      <w:kern w:val="0"/>
      <w:sz w:val="18"/>
      <w:szCs w:val="18"/>
      <w:lang w:bidi="ar-SA"/>
    </w:rPr>
  </w:style>
  <w:style w:type="paragraph" w:styleId="a7">
    <w:name w:val="annotation subject"/>
    <w:basedOn w:val="a6"/>
    <w:next w:val="a6"/>
    <w:link w:val="14"/>
    <w:uiPriority w:val="99"/>
    <w:unhideWhenUsed/>
    <w:qFormat/>
    <w:rPr>
      <w:b/>
    </w:rPr>
  </w:style>
  <w:style w:type="character" w:customStyle="1" w:styleId="ad">
    <w:name w:val="批注主题 字符"/>
    <w:basedOn w:val="13"/>
    <w:uiPriority w:val="99"/>
    <w:semiHidden/>
    <w:rPr>
      <w:rFonts w:cs="Sakkal Majalla"/>
      <w:b/>
      <w:bCs/>
      <w:kern w:val="0"/>
      <w:sz w:val="24"/>
      <w:szCs w:val="24"/>
      <w:lang w:bidi="ar-SA"/>
    </w:rPr>
  </w:style>
  <w:style w:type="character" w:customStyle="1" w:styleId="33">
    <w:name w:val="批注主题 字符3"/>
    <w:basedOn w:val="13"/>
    <w:uiPriority w:val="99"/>
    <w:semiHidden/>
    <w:rPr>
      <w:rFonts w:cs="Sakkal Majalla"/>
      <w:b/>
      <w:bCs/>
      <w:kern w:val="0"/>
      <w:sz w:val="24"/>
      <w:szCs w:val="24"/>
      <w:lang w:bidi="ar-SA"/>
    </w:rPr>
  </w:style>
  <w:style w:type="character" w:customStyle="1" w:styleId="25">
    <w:name w:val="批注主题 字符2"/>
    <w:basedOn w:val="13"/>
    <w:uiPriority w:val="99"/>
    <w:semiHidden/>
    <w:rPr>
      <w:rFonts w:cs="Sakkal Majalla"/>
      <w:b/>
      <w:bCs/>
      <w:kern w:val="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711</Words>
  <Characters>4056</Characters>
  <Application>Microsoft Office Word</Application>
  <DocSecurity>0</DocSecurity>
  <Lines>33</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fan wu</cp:lastModifiedBy>
  <cp:revision>2</cp:revision>
  <dcterms:created xsi:type="dcterms:W3CDTF">2024-08-09T06:55:00Z</dcterms:created>
  <dcterms:modified xsi:type="dcterms:W3CDTF">2024-08-09T06:55:00Z</dcterms:modified>
</cp:coreProperties>
</file>