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1AC" w:rsidRDefault="000471AC">
      <w:pPr>
        <w:spacing w:line="600" w:lineRule="exact"/>
        <w:jc w:val="both"/>
        <w:rPr>
          <w:rFonts w:cs="黑体"/>
          <w:kern w:val="2"/>
          <w:sz w:val="32"/>
          <w:szCs w:val="32"/>
          <w:lang w:val="zh-CN"/>
        </w:rPr>
      </w:pPr>
    </w:p>
    <w:p w:rsidR="000471AC" w:rsidRDefault="000471AC">
      <w:pPr>
        <w:spacing w:line="580" w:lineRule="exact"/>
        <w:jc w:val="center"/>
        <w:rPr>
          <w:rFonts w:cs="黑体"/>
          <w:kern w:val="2"/>
          <w:sz w:val="44"/>
          <w:szCs w:val="44"/>
          <w:lang w:val="zh-CN"/>
        </w:rPr>
      </w:pPr>
    </w:p>
    <w:p w:rsidR="000471AC" w:rsidRDefault="000471AC">
      <w:pPr>
        <w:spacing w:line="600" w:lineRule="exact"/>
        <w:jc w:val="both"/>
        <w:rPr>
          <w:rFonts w:cs="黑体"/>
          <w:kern w:val="2"/>
          <w:sz w:val="32"/>
          <w:szCs w:val="32"/>
          <w:lang w:val="zh-CN"/>
        </w:rPr>
      </w:pPr>
    </w:p>
    <w:p w:rsidR="000471AC" w:rsidRDefault="000471AC">
      <w:pPr>
        <w:spacing w:line="580" w:lineRule="exact"/>
        <w:jc w:val="center"/>
        <w:rPr>
          <w:rFonts w:cs="黑体"/>
          <w:kern w:val="2"/>
          <w:sz w:val="44"/>
          <w:szCs w:val="44"/>
          <w:lang w:val="zh-CN"/>
        </w:rPr>
      </w:pPr>
    </w:p>
    <w:p w:rsidR="000471AC" w:rsidRDefault="000471AC">
      <w:pPr>
        <w:spacing w:line="580" w:lineRule="exact"/>
        <w:jc w:val="center"/>
        <w:rPr>
          <w:rFonts w:ascii="Times New Roman" w:cs="Times New Roman"/>
          <w:kern w:val="2"/>
          <w:sz w:val="44"/>
          <w:szCs w:val="44"/>
          <w:lang w:val="zh-CN"/>
        </w:rPr>
      </w:pPr>
    </w:p>
    <w:p w:rsidR="000471AC" w:rsidRDefault="000471AC">
      <w:pPr>
        <w:spacing w:line="580" w:lineRule="exact"/>
        <w:jc w:val="center"/>
        <w:rPr>
          <w:rFonts w:ascii="Times New Roman" w:cs="Times New Roman"/>
          <w:kern w:val="2"/>
          <w:sz w:val="44"/>
          <w:szCs w:val="44"/>
          <w:lang w:val="zh-CN"/>
        </w:rPr>
      </w:pPr>
    </w:p>
    <w:p w:rsidR="000471AC" w:rsidRDefault="000471AC">
      <w:pPr>
        <w:spacing w:line="580" w:lineRule="exact"/>
        <w:jc w:val="center"/>
        <w:rPr>
          <w:rFonts w:ascii="Times New Roman" w:cs="Times New Roman"/>
          <w:kern w:val="2"/>
          <w:sz w:val="44"/>
          <w:szCs w:val="44"/>
          <w:lang w:val="zh-CN"/>
        </w:rPr>
      </w:pPr>
    </w:p>
    <w:p w:rsidR="000471AC" w:rsidRDefault="000471AC">
      <w:pPr>
        <w:spacing w:line="580" w:lineRule="exact"/>
        <w:jc w:val="center"/>
        <w:rPr>
          <w:rFonts w:ascii="Times New Roman" w:cs="Times New Roman"/>
          <w:kern w:val="2"/>
          <w:sz w:val="44"/>
          <w:szCs w:val="44"/>
          <w:lang w:val="zh-CN"/>
        </w:rPr>
      </w:pPr>
    </w:p>
    <w:p w:rsidR="000471AC" w:rsidRDefault="000471AC">
      <w:pPr>
        <w:spacing w:line="580" w:lineRule="exact"/>
        <w:jc w:val="center"/>
        <w:rPr>
          <w:rFonts w:ascii="Times New Roman" w:cs="Times New Roman"/>
          <w:kern w:val="2"/>
          <w:sz w:val="44"/>
          <w:szCs w:val="44"/>
          <w:lang w:val="zh-CN"/>
        </w:rPr>
      </w:pPr>
    </w:p>
    <w:p w:rsidR="000471AC" w:rsidRDefault="000471AC">
      <w:pPr>
        <w:spacing w:line="580" w:lineRule="exact"/>
        <w:jc w:val="center"/>
        <w:rPr>
          <w:rFonts w:ascii="Times New Roman" w:cs="Times New Roman"/>
          <w:kern w:val="2"/>
          <w:sz w:val="44"/>
          <w:szCs w:val="44"/>
          <w:lang w:val="zh-CN"/>
        </w:rPr>
      </w:pPr>
    </w:p>
    <w:p w:rsidR="000471AC" w:rsidRDefault="000471AC">
      <w:pPr>
        <w:spacing w:line="580" w:lineRule="exact"/>
        <w:jc w:val="center"/>
        <w:rPr>
          <w:rFonts w:ascii="Times New Roman" w:cs="Times New Roman"/>
          <w:kern w:val="2"/>
          <w:sz w:val="44"/>
          <w:szCs w:val="44"/>
          <w:lang w:val="zh-CN"/>
        </w:rPr>
      </w:pPr>
    </w:p>
    <w:p w:rsidR="000471AC" w:rsidRDefault="000471AC">
      <w:pPr>
        <w:spacing w:line="580" w:lineRule="exact"/>
        <w:jc w:val="center"/>
        <w:rPr>
          <w:rFonts w:ascii="Times New Roman" w:cs="Times New Roman"/>
          <w:kern w:val="2"/>
          <w:sz w:val="44"/>
          <w:szCs w:val="44"/>
          <w:lang w:val="zh-CN"/>
        </w:rPr>
      </w:pPr>
    </w:p>
    <w:p w:rsidR="000471AC" w:rsidRDefault="000471AC">
      <w:pPr>
        <w:spacing w:line="580" w:lineRule="exact"/>
        <w:jc w:val="center"/>
        <w:rPr>
          <w:rFonts w:ascii="Times New Roman" w:cs="Times New Roman"/>
          <w:kern w:val="2"/>
          <w:sz w:val="44"/>
          <w:szCs w:val="44"/>
          <w:lang w:val="zh-CN"/>
        </w:rPr>
      </w:pPr>
    </w:p>
    <w:p w:rsidR="000471AC" w:rsidRDefault="000471AC">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hint="eastAsia"/>
          <w:sz w:val="48"/>
          <w:szCs w:val="48"/>
          <w:lang w:val="zh-CN"/>
        </w:rPr>
        <w:t>天津渤海化工有限责任公司（本级）</w:t>
      </w:r>
    </w:p>
    <w:p w:rsidR="000471AC" w:rsidRDefault="000471AC">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sz w:val="48"/>
          <w:szCs w:val="48"/>
          <w:lang w:val="zh-CN"/>
        </w:rPr>
        <w:t>2022</w:t>
      </w:r>
      <w:r>
        <w:rPr>
          <w:rFonts w:ascii="方正小标宋简体" w:eastAsia="方正小标宋简体" w:hAnsi="Times New Roman" w:cs="方正小标宋简体" w:hint="eastAsia"/>
          <w:sz w:val="48"/>
          <w:szCs w:val="48"/>
          <w:lang w:val="zh-CN"/>
        </w:rPr>
        <w:t>年度部门决算</w:t>
      </w:r>
    </w:p>
    <w:p w:rsidR="000471AC" w:rsidRDefault="000471AC">
      <w:pPr>
        <w:spacing w:line="580" w:lineRule="exact"/>
        <w:jc w:val="center"/>
        <w:rPr>
          <w:rFonts w:hAnsi="Times New Roman" w:cs="黑体"/>
          <w:kern w:val="2"/>
          <w:sz w:val="30"/>
          <w:szCs w:val="30"/>
        </w:rPr>
      </w:pPr>
    </w:p>
    <w:p w:rsidR="000471AC" w:rsidRDefault="000471AC">
      <w:pPr>
        <w:spacing w:line="580" w:lineRule="exact"/>
        <w:jc w:val="center"/>
        <w:rPr>
          <w:rFonts w:hAnsi="Times New Roman" w:cs="黑体"/>
          <w:kern w:val="2"/>
          <w:sz w:val="30"/>
          <w:szCs w:val="30"/>
        </w:rPr>
      </w:pPr>
    </w:p>
    <w:p w:rsidR="000471AC" w:rsidRDefault="000471AC">
      <w:pPr>
        <w:spacing w:line="580" w:lineRule="exact"/>
        <w:jc w:val="center"/>
        <w:rPr>
          <w:rFonts w:hAnsi="Times New Roman" w:cs="黑体"/>
          <w:kern w:val="2"/>
          <w:sz w:val="30"/>
          <w:szCs w:val="30"/>
        </w:rPr>
      </w:pPr>
    </w:p>
    <w:p w:rsidR="000471AC" w:rsidRDefault="000471AC">
      <w:pPr>
        <w:spacing w:line="580" w:lineRule="exact"/>
        <w:jc w:val="center"/>
        <w:rPr>
          <w:rFonts w:hAnsi="Times New Roman" w:cs="黑体"/>
          <w:kern w:val="2"/>
          <w:sz w:val="30"/>
          <w:szCs w:val="30"/>
        </w:rPr>
      </w:pPr>
    </w:p>
    <w:p w:rsidR="000471AC" w:rsidRDefault="000471AC">
      <w:pPr>
        <w:spacing w:line="580" w:lineRule="exact"/>
        <w:jc w:val="center"/>
        <w:rPr>
          <w:rFonts w:hAnsi="Times New Roman" w:cs="黑体"/>
          <w:kern w:val="2"/>
          <w:sz w:val="30"/>
          <w:szCs w:val="30"/>
        </w:rPr>
      </w:pPr>
    </w:p>
    <w:p w:rsidR="000471AC" w:rsidRDefault="000471AC">
      <w:pPr>
        <w:spacing w:line="600" w:lineRule="exact"/>
        <w:jc w:val="center"/>
        <w:rPr>
          <w:rFonts w:hAnsi="Times New Roman" w:cs="黑体"/>
          <w:sz w:val="44"/>
          <w:szCs w:val="44"/>
        </w:rPr>
      </w:pPr>
      <w:r>
        <w:rPr>
          <w:rFonts w:hAnsi="Times New Roman" w:cs="黑体"/>
          <w:kern w:val="2"/>
          <w:sz w:val="30"/>
          <w:szCs w:val="30"/>
        </w:rPr>
        <w:br w:type="page"/>
      </w:r>
    </w:p>
    <w:p w:rsidR="000471AC" w:rsidRDefault="000471AC">
      <w:pPr>
        <w:spacing w:line="600" w:lineRule="exact"/>
        <w:jc w:val="center"/>
        <w:rPr>
          <w:rFonts w:hAnsi="Times New Roman" w:cs="黑体"/>
          <w:sz w:val="44"/>
          <w:szCs w:val="44"/>
        </w:rPr>
      </w:pPr>
      <w:r>
        <w:rPr>
          <w:rFonts w:hAnsi="Times New Roman" w:cs="黑体" w:hint="eastAsia"/>
          <w:sz w:val="44"/>
          <w:szCs w:val="44"/>
        </w:rPr>
        <w:t>目</w:t>
      </w:r>
      <w:r>
        <w:rPr>
          <w:rFonts w:hAnsi="Times New Roman" w:cs="黑体"/>
          <w:sz w:val="44"/>
          <w:szCs w:val="44"/>
        </w:rPr>
        <w:t xml:space="preserve">   </w:t>
      </w:r>
      <w:r>
        <w:rPr>
          <w:rFonts w:hAnsi="Times New Roman" w:cs="黑体" w:hint="eastAsia"/>
          <w:sz w:val="44"/>
          <w:szCs w:val="44"/>
        </w:rPr>
        <w:t>录</w:t>
      </w:r>
    </w:p>
    <w:p w:rsidR="000471AC" w:rsidRDefault="000471AC">
      <w:pPr>
        <w:spacing w:line="600" w:lineRule="exact"/>
        <w:rPr>
          <w:rFonts w:hAnsi="Times New Roman" w:cs="黑体"/>
          <w:sz w:val="30"/>
          <w:szCs w:val="30"/>
        </w:rPr>
      </w:pPr>
    </w:p>
    <w:p w:rsidR="000471AC" w:rsidRDefault="000471AC">
      <w:pPr>
        <w:tabs>
          <w:tab w:val="right" w:leader="dot" w:pos="8306"/>
        </w:tabs>
        <w:spacing w:line="700" w:lineRule="exact"/>
        <w:rPr>
          <w:rFonts w:ascii="Times New Roman" w:eastAsia="方正小标宋简体" w:hAnsi="Times New Roman" w:cs="Times New Roman"/>
          <w:noProof/>
          <w:sz w:val="30"/>
          <w:szCs w:val="30"/>
          <w:lang w:val="en-US" w:eastAsia="zh-CN"/>
        </w:rPr>
      </w:pPr>
      <w:r>
        <w:rPr>
          <w:rFonts w:ascii="方正小标宋简体" w:eastAsia="方正小标宋简体" w:hAnsi="Times New Roman" w:cs="方正小标宋简体" w:hint="eastAsia"/>
          <w:noProof/>
          <w:sz w:val="30"/>
          <w:szCs w:val="30"/>
          <w:lang w:val="en-US" w:eastAsia="zh-CN"/>
        </w:rPr>
        <w:t>第一部分</w:t>
      </w:r>
      <w:r>
        <w:rPr>
          <w:rFonts w:ascii="方正小标宋简体" w:eastAsia="方正小标宋简体" w:hAnsi="Times New Roman" w:cs="方正小标宋简体"/>
          <w:noProof/>
          <w:sz w:val="30"/>
          <w:szCs w:val="30"/>
          <w:lang w:val="en-US" w:eastAsia="zh-CN"/>
        </w:rPr>
        <w:t xml:space="preserve">  </w:t>
      </w:r>
      <w:r>
        <w:rPr>
          <w:rFonts w:ascii="方正小标宋简体" w:eastAsia="方正小标宋简体" w:hAnsi="Times New Roman" w:cs="方正小标宋简体" w:hint="eastAsia"/>
          <w:noProof/>
          <w:sz w:val="30"/>
          <w:szCs w:val="30"/>
          <w:lang w:val="en-US" w:eastAsia="zh-CN"/>
        </w:rPr>
        <w:t>概</w:t>
      </w:r>
      <w:r>
        <w:rPr>
          <w:rFonts w:ascii="方正小标宋简体" w:eastAsia="方正小标宋简体" w:hAnsi="Times New Roman" w:cs="方正小标宋简体"/>
          <w:noProof/>
          <w:sz w:val="30"/>
          <w:szCs w:val="30"/>
          <w:lang w:val="en-US" w:eastAsia="zh-CN"/>
        </w:rPr>
        <w:t xml:space="preserve"> </w:t>
      </w:r>
      <w:r>
        <w:rPr>
          <w:rFonts w:ascii="方正小标宋简体" w:eastAsia="方正小标宋简体" w:hAnsi="Times New Roman" w:cs="方正小标宋简体" w:hint="eastAsia"/>
          <w:noProof/>
          <w:sz w:val="30"/>
          <w:szCs w:val="30"/>
          <w:lang w:val="en-US" w:eastAsia="zh-CN"/>
        </w:rPr>
        <w:t>况</w:t>
      </w:r>
      <w:r>
        <w:rPr>
          <w:rFonts w:ascii="Times New Roman" w:eastAsia="方正小标宋简体" w:hAnsi="Times New Roman" w:cs="Times New Roman"/>
          <w:noProof/>
          <w:sz w:val="30"/>
          <w:szCs w:val="30"/>
          <w:lang w:val="en-US" w:eastAsia="zh-CN"/>
        </w:rPr>
        <w:tab/>
        <w:t>1</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一、主要职责</w:t>
      </w:r>
      <w:r>
        <w:rPr>
          <w:rFonts w:ascii="Times New Roman" w:eastAsia="仿宋_GB2312" w:hAnsi="Times New Roman" w:cs="Times New Roman"/>
          <w:sz w:val="30"/>
          <w:szCs w:val="30"/>
        </w:rPr>
        <w:tab/>
        <w:t>1</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二、机构设置</w:t>
      </w:r>
      <w:r>
        <w:rPr>
          <w:rFonts w:ascii="Times New Roman" w:eastAsia="仿宋_GB2312" w:hAnsi="Times New Roman" w:cs="Times New Roman"/>
          <w:sz w:val="30"/>
          <w:szCs w:val="30"/>
        </w:rPr>
        <w:tab/>
        <w:t>1</w:t>
      </w:r>
    </w:p>
    <w:p w:rsidR="000471AC" w:rsidRDefault="000471AC">
      <w:pPr>
        <w:tabs>
          <w:tab w:val="right" w:leader="dot" w:pos="8306"/>
        </w:tabs>
        <w:spacing w:line="700" w:lineRule="exact"/>
        <w:rPr>
          <w:rFonts w:ascii="Times New Roman" w:eastAsia="方正小标宋简体" w:hAnsi="Times New Roman" w:cs="Times New Roman"/>
          <w:noProof/>
          <w:sz w:val="30"/>
          <w:szCs w:val="30"/>
          <w:lang w:val="en-US" w:eastAsia="zh-CN"/>
        </w:rPr>
      </w:pPr>
      <w:r>
        <w:rPr>
          <w:rFonts w:ascii="方正小标宋简体" w:eastAsia="方正小标宋简体" w:hAnsi="Times New Roman" w:cs="方正小标宋简体" w:hint="eastAsia"/>
          <w:noProof/>
          <w:sz w:val="30"/>
          <w:szCs w:val="30"/>
          <w:lang w:val="en-US" w:eastAsia="zh-CN"/>
        </w:rPr>
        <w:t>第二部分</w:t>
      </w:r>
      <w:r>
        <w:rPr>
          <w:rFonts w:ascii="方正小标宋简体" w:eastAsia="方正小标宋简体" w:hAnsi="Times New Roman" w:cs="方正小标宋简体"/>
          <w:noProof/>
          <w:sz w:val="30"/>
          <w:szCs w:val="30"/>
          <w:lang w:val="en-US" w:eastAsia="zh-CN"/>
        </w:rPr>
        <w:t xml:space="preserve">  2022</w:t>
      </w:r>
      <w:r>
        <w:rPr>
          <w:rFonts w:ascii="方正小标宋简体" w:eastAsia="方正小标宋简体" w:hAnsi="Times New Roman" w:cs="方正小标宋简体" w:hint="eastAsia"/>
          <w:noProof/>
          <w:sz w:val="30"/>
          <w:szCs w:val="30"/>
          <w:lang w:val="en-US" w:eastAsia="zh-CN"/>
        </w:rPr>
        <w:t>年度部门决算表</w:t>
      </w:r>
      <w:r>
        <w:rPr>
          <w:rFonts w:ascii="Times New Roman" w:eastAsia="方正小标宋简体" w:hAnsi="Times New Roman" w:cs="Times New Roman"/>
          <w:noProof/>
          <w:sz w:val="30"/>
          <w:szCs w:val="30"/>
          <w:lang w:val="en-US" w:eastAsia="zh-CN"/>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一、收入支出决算总表</w:t>
      </w:r>
      <w:r>
        <w:rPr>
          <w:rFonts w:ascii="Times New Roman" w:eastAsia="仿宋_GB2312" w:hAnsi="Times New Roman" w:cs="Times New Roman"/>
          <w:sz w:val="30"/>
          <w:szCs w:val="30"/>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二、收入决算表（按功能分类列示）</w:t>
      </w:r>
      <w:r>
        <w:rPr>
          <w:rFonts w:ascii="Times New Roman" w:eastAsia="仿宋_GB2312" w:hAnsi="Times New Roman" w:cs="Times New Roman"/>
          <w:sz w:val="30"/>
          <w:szCs w:val="30"/>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三、收入决算表（按单位列示）</w:t>
      </w:r>
      <w:r>
        <w:rPr>
          <w:rFonts w:ascii="Times New Roman" w:eastAsia="仿宋_GB2312" w:hAnsi="Times New Roman" w:cs="Times New Roman"/>
          <w:sz w:val="30"/>
          <w:szCs w:val="30"/>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四、支出决算表</w:t>
      </w:r>
      <w:r>
        <w:rPr>
          <w:rFonts w:ascii="Times New Roman" w:eastAsia="仿宋_GB2312" w:hAnsi="Times New Roman" w:cs="Times New Roman"/>
          <w:sz w:val="30"/>
          <w:szCs w:val="30"/>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五、财政拨款收入支出决算总表</w:t>
      </w:r>
      <w:r>
        <w:rPr>
          <w:rFonts w:ascii="Times New Roman" w:eastAsia="仿宋_GB2312" w:hAnsi="Times New Roman" w:cs="Times New Roman"/>
          <w:sz w:val="30"/>
          <w:szCs w:val="30"/>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六、一般公共预算财政拨款支出决算表</w:t>
      </w:r>
      <w:r>
        <w:rPr>
          <w:rFonts w:ascii="Times New Roman" w:eastAsia="仿宋_GB2312" w:hAnsi="Times New Roman" w:cs="Times New Roman"/>
          <w:sz w:val="30"/>
          <w:szCs w:val="30"/>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七、一般公共预算财政拨款基本支出决算表</w:t>
      </w:r>
      <w:r>
        <w:rPr>
          <w:rFonts w:ascii="Times New Roman" w:eastAsia="仿宋_GB2312" w:hAnsi="Times New Roman" w:cs="Times New Roman"/>
          <w:sz w:val="30"/>
          <w:szCs w:val="30"/>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八、政府性基金预算财政拨款收入支出决算表</w:t>
      </w:r>
      <w:r>
        <w:rPr>
          <w:rFonts w:ascii="Times New Roman" w:eastAsia="仿宋_GB2312" w:hAnsi="Times New Roman" w:cs="Times New Roman"/>
          <w:sz w:val="30"/>
          <w:szCs w:val="30"/>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九、国有资本经营预算财政拨款收入支出决算表</w:t>
      </w:r>
      <w:r>
        <w:rPr>
          <w:rFonts w:ascii="Times New Roman" w:eastAsia="仿宋_GB2312" w:hAnsi="Times New Roman" w:cs="Times New Roman"/>
          <w:sz w:val="30"/>
          <w:szCs w:val="30"/>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经费支出决算表</w:t>
      </w:r>
      <w:r>
        <w:rPr>
          <w:rFonts w:ascii="Times New Roman" w:eastAsia="仿宋_GB2312" w:hAnsi="Times New Roman" w:cs="Times New Roman"/>
          <w:sz w:val="30"/>
          <w:szCs w:val="30"/>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十一、项目支出决算表</w:t>
      </w:r>
      <w:r>
        <w:rPr>
          <w:rFonts w:ascii="Times New Roman" w:eastAsia="仿宋_GB2312" w:hAnsi="Times New Roman" w:cs="Times New Roman"/>
          <w:sz w:val="30"/>
          <w:szCs w:val="30"/>
        </w:rPr>
        <w:tab/>
        <w:t>2</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lastRenderedPageBreak/>
        <w:t>十二、关于空表的说明</w:t>
      </w:r>
      <w:r>
        <w:rPr>
          <w:rFonts w:ascii="Times New Roman" w:eastAsia="仿宋_GB2312" w:hAnsi="Times New Roman" w:cs="Times New Roman"/>
          <w:sz w:val="30"/>
          <w:szCs w:val="30"/>
        </w:rPr>
        <w:tab/>
        <w:t>3</w:t>
      </w:r>
    </w:p>
    <w:p w:rsidR="000471AC" w:rsidRDefault="000471AC">
      <w:pPr>
        <w:tabs>
          <w:tab w:val="right" w:leader="dot" w:pos="8306"/>
        </w:tabs>
        <w:spacing w:line="700" w:lineRule="exact"/>
        <w:rPr>
          <w:rFonts w:ascii="Times New Roman" w:eastAsia="方正小标宋简体" w:hAnsi="Times New Roman" w:cs="Times New Roman"/>
          <w:noProof/>
          <w:sz w:val="30"/>
          <w:szCs w:val="30"/>
          <w:lang w:val="en-US" w:eastAsia="zh-CN"/>
        </w:rPr>
      </w:pPr>
      <w:r>
        <w:rPr>
          <w:rFonts w:ascii="方正小标宋简体" w:eastAsia="方正小标宋简体" w:hAnsi="Times New Roman" w:cs="方正小标宋简体" w:hint="eastAsia"/>
          <w:noProof/>
          <w:sz w:val="30"/>
          <w:szCs w:val="30"/>
          <w:lang w:val="en-US" w:eastAsia="zh-CN"/>
        </w:rPr>
        <w:t>第三部分</w:t>
      </w:r>
      <w:r>
        <w:rPr>
          <w:rFonts w:ascii="方正小标宋简体" w:eastAsia="方正小标宋简体" w:hAnsi="Times New Roman" w:cs="方正小标宋简体"/>
          <w:noProof/>
          <w:sz w:val="30"/>
          <w:szCs w:val="30"/>
          <w:lang w:val="en-US" w:eastAsia="zh-CN"/>
        </w:rPr>
        <w:t xml:space="preserve">  2022</w:t>
      </w:r>
      <w:r>
        <w:rPr>
          <w:rFonts w:ascii="方正小标宋简体" w:eastAsia="方正小标宋简体" w:hAnsi="Times New Roman" w:cs="方正小标宋简体" w:hint="eastAsia"/>
          <w:noProof/>
          <w:sz w:val="30"/>
          <w:szCs w:val="30"/>
          <w:lang w:val="en-US" w:eastAsia="zh-CN"/>
        </w:rPr>
        <w:t>年度部门决算情况说明</w:t>
      </w:r>
      <w:r>
        <w:rPr>
          <w:rFonts w:ascii="Times New Roman" w:eastAsia="方正小标宋简体" w:hAnsi="Times New Roman" w:cs="Times New Roman"/>
          <w:noProof/>
          <w:sz w:val="30"/>
          <w:szCs w:val="30"/>
          <w:lang w:val="en-US" w:eastAsia="zh-CN"/>
        </w:rPr>
        <w:tab/>
        <w:t>4</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一、收支决算总体情况说明</w:t>
      </w:r>
      <w:r>
        <w:rPr>
          <w:rFonts w:ascii="Times New Roman" w:eastAsia="仿宋_GB2312" w:hAnsi="Times New Roman" w:cs="Times New Roman"/>
          <w:sz w:val="30"/>
          <w:szCs w:val="30"/>
        </w:rPr>
        <w:tab/>
        <w:t>4</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二、收入决算情况说明</w:t>
      </w:r>
      <w:r>
        <w:rPr>
          <w:rFonts w:ascii="Times New Roman" w:eastAsia="仿宋_GB2312" w:hAnsi="Times New Roman" w:cs="Times New Roman"/>
          <w:sz w:val="30"/>
          <w:szCs w:val="30"/>
        </w:rPr>
        <w:tab/>
        <w:t>4</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三、支出决算情况说明</w:t>
      </w:r>
      <w:r>
        <w:rPr>
          <w:rFonts w:ascii="Times New Roman" w:eastAsia="仿宋_GB2312" w:hAnsi="Times New Roman" w:cs="Times New Roman"/>
          <w:sz w:val="30"/>
          <w:szCs w:val="30"/>
        </w:rPr>
        <w:tab/>
        <w:t>4</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四、财政拨款收支决算总体情况说明</w:t>
      </w:r>
      <w:r>
        <w:rPr>
          <w:rFonts w:ascii="Times New Roman" w:eastAsia="仿宋_GB2312" w:hAnsi="Times New Roman" w:cs="Times New Roman"/>
          <w:sz w:val="30"/>
          <w:szCs w:val="30"/>
        </w:rPr>
        <w:tab/>
        <w:t>5</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五、一般公共预算财政拨款支出决算情况说明</w:t>
      </w:r>
      <w:r>
        <w:rPr>
          <w:rFonts w:ascii="Times New Roman" w:eastAsia="仿宋_GB2312" w:hAnsi="Times New Roman" w:cs="Times New Roman"/>
          <w:sz w:val="30"/>
          <w:szCs w:val="30"/>
        </w:rPr>
        <w:tab/>
        <w:t>5</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六、一般公共预算财政拨款基本支出决算情况说明</w:t>
      </w:r>
      <w:r>
        <w:rPr>
          <w:rFonts w:ascii="Times New Roman" w:eastAsia="仿宋_GB2312" w:hAnsi="Times New Roman" w:cs="Times New Roman"/>
          <w:sz w:val="30"/>
          <w:szCs w:val="30"/>
        </w:rPr>
        <w:tab/>
        <w:t>6</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七、政府性基金预算财政拨款收支决算情况说明</w:t>
      </w:r>
      <w:r>
        <w:rPr>
          <w:rFonts w:ascii="Times New Roman" w:eastAsia="仿宋_GB2312" w:hAnsi="Times New Roman" w:cs="Times New Roman"/>
          <w:sz w:val="30"/>
          <w:szCs w:val="30"/>
        </w:rPr>
        <w:tab/>
        <w:t>7</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八、国有资本经营预算财政拨款收支决算情况说明</w:t>
      </w:r>
      <w:r>
        <w:rPr>
          <w:rFonts w:ascii="Times New Roman" w:eastAsia="仿宋_GB2312" w:hAnsi="Times New Roman" w:cs="Times New Roman"/>
          <w:sz w:val="30"/>
          <w:szCs w:val="30"/>
        </w:rPr>
        <w:tab/>
        <w:t>7</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九、一般公共预算财政拨款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经费支出决算情况说明</w:t>
      </w:r>
      <w:r>
        <w:rPr>
          <w:rFonts w:ascii="Times New Roman" w:eastAsia="仿宋_GB2312" w:hAnsi="Times New Roman" w:cs="Times New Roman"/>
          <w:sz w:val="30"/>
          <w:szCs w:val="30"/>
        </w:rPr>
        <w:tab/>
      </w:r>
      <w:r>
        <w:rPr>
          <w:rFonts w:ascii="仿宋_GB2312" w:eastAsia="仿宋_GB2312" w:hAnsi="Times New Roman" w:cs="仿宋_GB2312"/>
          <w:sz w:val="30"/>
          <w:szCs w:val="30"/>
        </w:rPr>
        <w:t>7</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十、机关运行经费支出情况说明</w:t>
      </w:r>
      <w:r>
        <w:rPr>
          <w:rFonts w:ascii="Times New Roman" w:eastAsia="仿宋_GB2312" w:hAnsi="Times New Roman" w:cs="Times New Roman"/>
          <w:sz w:val="30"/>
          <w:szCs w:val="30"/>
        </w:rPr>
        <w:tab/>
        <w:t>8</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十一、政府采购支出情况说明</w:t>
      </w:r>
      <w:r>
        <w:rPr>
          <w:rFonts w:ascii="Times New Roman" w:eastAsia="仿宋_GB2312" w:hAnsi="Times New Roman" w:cs="Times New Roman"/>
          <w:sz w:val="30"/>
          <w:szCs w:val="30"/>
        </w:rPr>
        <w:tab/>
        <w:t>8</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十二、国有资产占有使用情况说明</w:t>
      </w:r>
      <w:r>
        <w:rPr>
          <w:rFonts w:ascii="Times New Roman" w:eastAsia="仿宋_GB2312" w:hAnsi="Times New Roman" w:cs="Times New Roman"/>
          <w:sz w:val="30"/>
          <w:szCs w:val="30"/>
        </w:rPr>
        <w:tab/>
        <w:t>8</w:t>
      </w:r>
    </w:p>
    <w:p w:rsidR="000471AC" w:rsidRDefault="000471AC">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十三、预算绩效情况说明</w:t>
      </w:r>
      <w:r>
        <w:rPr>
          <w:rFonts w:ascii="Times New Roman" w:eastAsia="仿宋_GB2312" w:hAnsi="Times New Roman" w:cs="Times New Roman"/>
          <w:sz w:val="30"/>
          <w:szCs w:val="30"/>
        </w:rPr>
        <w:tab/>
        <w:t>9</w:t>
      </w:r>
    </w:p>
    <w:p w:rsidR="000471AC" w:rsidRDefault="000471AC">
      <w:pPr>
        <w:tabs>
          <w:tab w:val="right" w:leader="dot" w:pos="8306"/>
        </w:tabs>
        <w:spacing w:line="700" w:lineRule="exact"/>
        <w:ind w:left="220"/>
        <w:rPr>
          <w:rFonts w:ascii="Times New Roman" w:eastAsia="仿宋_GB2312" w:hAnsi="Times New Roman" w:cs="Times New Roman"/>
          <w:sz w:val="30"/>
          <w:szCs w:val="30"/>
          <w:lang w:val="en"/>
        </w:rPr>
      </w:pPr>
      <w:r>
        <w:rPr>
          <w:rFonts w:ascii="仿宋_GB2312"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cs="Times New Roman"/>
          <w:sz w:val="30"/>
          <w:szCs w:val="30"/>
        </w:rPr>
        <w:tab/>
      </w:r>
      <w:r>
        <w:rPr>
          <w:rFonts w:ascii="Times New Roman" w:eastAsia="仿宋_GB2312" w:hAnsi="Times New Roman" w:cs="Times New Roman"/>
          <w:sz w:val="30"/>
          <w:szCs w:val="30"/>
          <w:lang w:val="en"/>
        </w:rPr>
        <w:t>10</w:t>
      </w:r>
    </w:p>
    <w:p w:rsidR="000471AC" w:rsidRDefault="000471AC">
      <w:pPr>
        <w:tabs>
          <w:tab w:val="right" w:leader="dot" w:pos="8306"/>
        </w:tabs>
        <w:spacing w:line="700" w:lineRule="exact"/>
        <w:rPr>
          <w:rFonts w:ascii="Times New Roman" w:eastAsia="方正小标宋简体" w:hAnsi="Times New Roman" w:cs="Times New Roman"/>
          <w:noProof/>
          <w:sz w:val="30"/>
          <w:szCs w:val="30"/>
          <w:lang w:val="en" w:eastAsia="zh-CN"/>
        </w:rPr>
      </w:pPr>
      <w:r>
        <w:rPr>
          <w:rFonts w:ascii="方正小标宋简体" w:eastAsia="方正小标宋简体" w:hAnsi="Times New Roman" w:cs="方正小标宋简体" w:hint="eastAsia"/>
          <w:noProof/>
          <w:sz w:val="30"/>
          <w:szCs w:val="30"/>
          <w:lang w:val="en" w:eastAsia="zh-CN"/>
        </w:rPr>
        <w:t>第四部分</w:t>
      </w:r>
      <w:r>
        <w:rPr>
          <w:rFonts w:ascii="方正小标宋简体" w:eastAsia="方正小标宋简体" w:hAnsi="Times New Roman" w:cs="方正小标宋简体"/>
          <w:noProof/>
          <w:sz w:val="30"/>
          <w:szCs w:val="30"/>
          <w:lang w:val="en" w:eastAsia="zh-CN"/>
        </w:rPr>
        <w:t xml:space="preserve">  </w:t>
      </w:r>
      <w:r>
        <w:rPr>
          <w:rFonts w:ascii="方正小标宋简体" w:eastAsia="方正小标宋简体" w:hAnsi="Times New Roman" w:cs="方正小标宋简体" w:hint="eastAsia"/>
          <w:noProof/>
          <w:sz w:val="30"/>
          <w:szCs w:val="30"/>
          <w:lang w:val="en" w:eastAsia="zh-CN"/>
        </w:rPr>
        <w:t>名词解释</w:t>
      </w:r>
      <w:r>
        <w:rPr>
          <w:rFonts w:ascii="Times New Roman" w:eastAsia="方正小标宋简体" w:hAnsi="Times New Roman" w:cs="Times New Roman"/>
          <w:noProof/>
          <w:sz w:val="30"/>
          <w:szCs w:val="30"/>
          <w:lang w:val="en" w:eastAsia="zh-CN"/>
        </w:rPr>
        <w:tab/>
        <w:t>11</w:t>
      </w:r>
    </w:p>
    <w:p w:rsidR="000471AC" w:rsidRDefault="000471AC">
      <w:pPr>
        <w:spacing w:line="700" w:lineRule="exact"/>
        <w:rPr>
          <w:rFonts w:hAnsi="Times New Roman" w:cs="黑体"/>
          <w:kern w:val="2"/>
          <w:sz w:val="30"/>
          <w:szCs w:val="30"/>
          <w:lang w:val="zh-CN"/>
        </w:rPr>
      </w:pPr>
      <w:r>
        <w:rPr>
          <w:rFonts w:hAnsi="Times New Roman" w:cs="黑体"/>
          <w:kern w:val="2"/>
          <w:sz w:val="30"/>
          <w:szCs w:val="30"/>
          <w:lang w:val="zh-CN"/>
        </w:rPr>
        <w:br w:type="page"/>
      </w:r>
    </w:p>
    <w:p w:rsidR="000471AC" w:rsidRDefault="000471AC">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第一部分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概</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况</w:t>
      </w:r>
    </w:p>
    <w:p w:rsidR="000471AC" w:rsidRDefault="000471AC">
      <w:pPr>
        <w:spacing w:line="600" w:lineRule="exact"/>
        <w:rPr>
          <w:rFonts w:ascii="Times New Roman" w:eastAsia="方正小标宋简体" w:hAnsi="Times New Roman" w:cs="Times New Roman"/>
        </w:rPr>
      </w:pPr>
    </w:p>
    <w:p w:rsidR="000471AC" w:rsidRDefault="000471AC">
      <w:pPr>
        <w:pStyle w:val="2"/>
        <w:spacing w:line="600" w:lineRule="exact"/>
        <w:ind w:firstLineChars="200" w:firstLine="602"/>
        <w:rPr>
          <w:rFonts w:hAnsi="黑体"/>
          <w:b/>
          <w:sz w:val="30"/>
          <w:szCs w:val="30"/>
        </w:rPr>
      </w:pPr>
      <w:bookmarkStart w:id="0" w:name="_Toc9987"/>
      <w:r>
        <w:rPr>
          <w:rFonts w:hAnsi="黑体" w:hint="eastAsia"/>
          <w:b/>
          <w:sz w:val="30"/>
          <w:szCs w:val="30"/>
        </w:rPr>
        <w:t>一、主要职责</w:t>
      </w:r>
      <w:bookmarkEnd w:id="0"/>
    </w:p>
    <w:p w:rsidR="000471AC" w:rsidRDefault="000471AC">
      <w:pPr>
        <w:spacing w:line="600" w:lineRule="exact"/>
        <w:ind w:firstLine="600"/>
        <w:rPr>
          <w:rFonts w:ascii="仿宋_GB2312" w:eastAsia="仿宋_GB2312" w:hAnsi="仿宋_GB2312" w:cs="仿宋_GB2312"/>
          <w:sz w:val="30"/>
          <w:szCs w:val="30"/>
          <w:lang w:val="zh-CN"/>
        </w:rPr>
      </w:pPr>
      <w:bookmarkStart w:id="1" w:name="_Toc26464"/>
      <w:r>
        <w:rPr>
          <w:rFonts w:ascii="仿宋_GB2312" w:eastAsia="仿宋_GB2312" w:hAnsi="仿宋_GB2312" w:cs="仿宋_GB2312" w:hint="eastAsia"/>
          <w:sz w:val="30"/>
          <w:szCs w:val="30"/>
          <w:lang w:val="zh-CN"/>
        </w:rPr>
        <w:t>天津渤海化工有限责任公司（本级）主要职责是负责转制前人员工资发放。</w:t>
      </w:r>
    </w:p>
    <w:p w:rsidR="000471AC" w:rsidRDefault="000471AC">
      <w:pPr>
        <w:pStyle w:val="2"/>
        <w:spacing w:line="600" w:lineRule="exact"/>
        <w:ind w:firstLineChars="200" w:firstLine="602"/>
        <w:rPr>
          <w:rFonts w:hAnsi="黑体"/>
          <w:b/>
          <w:sz w:val="30"/>
          <w:szCs w:val="30"/>
        </w:rPr>
      </w:pPr>
      <w:r>
        <w:rPr>
          <w:rFonts w:hAnsi="黑体" w:hint="eastAsia"/>
          <w:b/>
          <w:sz w:val="30"/>
          <w:szCs w:val="30"/>
        </w:rPr>
        <w:t>二、机构设置</w:t>
      </w:r>
      <w:bookmarkEnd w:id="1"/>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天津渤海化工有限责任公司（本级）为转制单位</w:t>
      </w:r>
      <w:r w:rsidR="00A319F8">
        <w:rPr>
          <w:rFonts w:ascii="仿宋_GB2312" w:eastAsia="仿宋_GB2312" w:hAnsi="仿宋_GB2312" w:cs="仿宋_GB2312" w:hint="eastAsia"/>
          <w:sz w:val="30"/>
          <w:szCs w:val="30"/>
          <w:lang w:val="zh-CN"/>
        </w:rPr>
        <w:t>，</w:t>
      </w:r>
      <w:r w:rsidR="00A319F8" w:rsidRPr="00A319F8">
        <w:rPr>
          <w:rFonts w:ascii="仿宋_GB2312" w:eastAsia="仿宋_GB2312" w:hAnsi="仿宋_GB2312" w:cs="仿宋_GB2312" w:hint="eastAsia"/>
          <w:sz w:val="30"/>
          <w:szCs w:val="30"/>
          <w:lang w:val="zh-CN"/>
        </w:rPr>
        <w:t>内设</w:t>
      </w:r>
      <w:r w:rsidR="00A319F8" w:rsidRPr="00A319F8">
        <w:rPr>
          <w:rFonts w:ascii="仿宋_GB2312" w:eastAsia="仿宋_GB2312" w:hAnsi="仿宋_GB2312" w:cs="仿宋_GB2312" w:hint="eastAsia"/>
          <w:sz w:val="30"/>
          <w:szCs w:val="30"/>
          <w:lang w:val="zh-CN"/>
        </w:rPr>
        <w:t>17个职能处室，具体为总经办、人力资源部、财务管理部、资产管理部等</w:t>
      </w:r>
      <w:r w:rsidR="00A319F8">
        <w:rPr>
          <w:rFonts w:ascii="仿宋_GB2312" w:eastAsia="仿宋_GB2312" w:hAnsi="仿宋_GB2312" w:cs="仿宋_GB2312" w:hint="eastAsia"/>
          <w:sz w:val="30"/>
          <w:szCs w:val="30"/>
          <w:lang w:val="zh-CN"/>
        </w:rPr>
        <w:t>。</w:t>
      </w:r>
    </w:p>
    <w:p w:rsidR="000471AC" w:rsidRPr="00A319F8" w:rsidRDefault="000471AC">
      <w:pPr>
        <w:spacing w:line="580" w:lineRule="exact"/>
        <w:ind w:firstLine="600"/>
        <w:rPr>
          <w:rFonts w:ascii="仿宋_GB2312" w:eastAsia="仿宋_GB2312" w:hAnsi="仿宋_GB2312" w:cs="仿宋_GB2312"/>
          <w:sz w:val="30"/>
          <w:szCs w:val="30"/>
          <w:lang w:val="zh-CN"/>
        </w:rPr>
      </w:pPr>
    </w:p>
    <w:p w:rsidR="000471AC" w:rsidRDefault="000471AC">
      <w:pPr>
        <w:pStyle w:val="1"/>
        <w:keepNext/>
        <w:keepLines/>
        <w:spacing w:before="340" w:after="330" w:line="600" w:lineRule="exact"/>
        <w:jc w:val="both"/>
        <w:rPr>
          <w:rFonts w:hAnsi="Times New Roman" w:cs="黑体"/>
          <w:kern w:val="2"/>
          <w:sz w:val="30"/>
          <w:szCs w:val="30"/>
        </w:rPr>
      </w:pPr>
      <w:bookmarkStart w:id="2" w:name="_GoBack"/>
      <w:bookmarkEnd w:id="2"/>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spacing w:line="360" w:lineRule="atLeast"/>
        <w:jc w:val="center"/>
        <w:rPr>
          <w:rFonts w:hAnsi="Times New Roman" w:cs="黑体"/>
          <w:kern w:val="2"/>
          <w:sz w:val="30"/>
          <w:szCs w:val="30"/>
          <w:lang w:val="zh-CN"/>
        </w:rPr>
      </w:pPr>
    </w:p>
    <w:p w:rsidR="000471AC" w:rsidRDefault="000471AC">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lastRenderedPageBreak/>
        <w:t>第二部分</w:t>
      </w:r>
      <w:r>
        <w:rPr>
          <w:rFonts w:ascii="方正小标宋简体" w:eastAsia="方正小标宋简体" w:hAnsi="Times New Roman" w:cs="方正小标宋简体"/>
          <w:kern w:val="44"/>
          <w:sz w:val="44"/>
          <w:szCs w:val="44"/>
        </w:rPr>
        <w:t xml:space="preserve">  2022</w:t>
      </w:r>
      <w:r>
        <w:rPr>
          <w:rFonts w:ascii="方正小标宋简体" w:eastAsia="方正小标宋简体" w:hAnsi="Times New Roman" w:cs="方正小标宋简体" w:hint="eastAsia"/>
          <w:kern w:val="44"/>
          <w:sz w:val="44"/>
          <w:szCs w:val="44"/>
        </w:rPr>
        <w:t>年度部门决算表</w:t>
      </w:r>
    </w:p>
    <w:p w:rsidR="000471AC" w:rsidRDefault="000471AC">
      <w:pPr>
        <w:spacing w:line="600" w:lineRule="exact"/>
        <w:rPr>
          <w:rFonts w:ascii="Times New Roman" w:eastAsia="方正小标宋简体" w:hAnsi="Times New Roman" w:cs="Times New Roman"/>
        </w:rPr>
      </w:pPr>
    </w:p>
    <w:p w:rsidR="000471AC" w:rsidRDefault="000471AC">
      <w:pPr>
        <w:pStyle w:val="2"/>
        <w:keepNext/>
        <w:keepLines/>
        <w:spacing w:line="800" w:lineRule="exact"/>
        <w:ind w:firstLine="600"/>
        <w:rPr>
          <w:rFonts w:hAnsi="Times New Roman" w:cs="黑体"/>
          <w:sz w:val="30"/>
          <w:szCs w:val="30"/>
        </w:rPr>
      </w:pPr>
      <w:r>
        <w:rPr>
          <w:rFonts w:hAnsi="Times New Roman" w:cs="黑体" w:hint="eastAsia"/>
          <w:sz w:val="30"/>
          <w:szCs w:val="30"/>
        </w:rPr>
        <w:t>一、《收入支出决算总表》</w:t>
      </w:r>
    </w:p>
    <w:p w:rsidR="000471AC" w:rsidRDefault="000471AC">
      <w:pPr>
        <w:pStyle w:val="2"/>
        <w:keepNext/>
        <w:keepLines/>
        <w:spacing w:line="800" w:lineRule="exact"/>
        <w:ind w:firstLine="600"/>
        <w:rPr>
          <w:rFonts w:hAnsi="Times New Roman" w:cs="黑体"/>
          <w:sz w:val="30"/>
          <w:szCs w:val="30"/>
        </w:rPr>
      </w:pPr>
      <w:r>
        <w:rPr>
          <w:rFonts w:hAnsi="Times New Roman" w:cs="黑体" w:hint="eastAsia"/>
          <w:sz w:val="30"/>
          <w:szCs w:val="30"/>
        </w:rPr>
        <w:t>二、《收入决算表（按功能分类列示）》</w:t>
      </w:r>
    </w:p>
    <w:p w:rsidR="000471AC" w:rsidRDefault="000471AC">
      <w:pPr>
        <w:pStyle w:val="2"/>
        <w:keepNext/>
        <w:keepLines/>
        <w:spacing w:line="800" w:lineRule="exact"/>
        <w:ind w:firstLine="600"/>
        <w:rPr>
          <w:rFonts w:hAnsi="Times New Roman" w:cs="黑体"/>
          <w:sz w:val="30"/>
          <w:szCs w:val="30"/>
        </w:rPr>
      </w:pPr>
      <w:r>
        <w:rPr>
          <w:rFonts w:hAnsi="Times New Roman" w:cs="黑体" w:hint="eastAsia"/>
          <w:sz w:val="30"/>
          <w:szCs w:val="30"/>
        </w:rPr>
        <w:t>三、《收入决算表（按单位列示）》</w:t>
      </w:r>
    </w:p>
    <w:p w:rsidR="000471AC" w:rsidRDefault="000471AC">
      <w:pPr>
        <w:pStyle w:val="2"/>
        <w:keepNext/>
        <w:keepLines/>
        <w:spacing w:line="800" w:lineRule="exact"/>
        <w:ind w:firstLine="600"/>
        <w:rPr>
          <w:rFonts w:hAnsi="Times New Roman" w:cs="黑体"/>
          <w:sz w:val="30"/>
          <w:szCs w:val="30"/>
        </w:rPr>
      </w:pPr>
      <w:r>
        <w:rPr>
          <w:rFonts w:hAnsi="Times New Roman" w:cs="黑体" w:hint="eastAsia"/>
          <w:sz w:val="30"/>
          <w:szCs w:val="30"/>
        </w:rPr>
        <w:t>四、《支出决算表》</w:t>
      </w:r>
    </w:p>
    <w:p w:rsidR="000471AC" w:rsidRDefault="000471AC">
      <w:pPr>
        <w:pStyle w:val="2"/>
        <w:keepNext/>
        <w:keepLines/>
        <w:spacing w:line="800" w:lineRule="exact"/>
        <w:ind w:firstLine="600"/>
        <w:rPr>
          <w:rFonts w:hAnsi="Times New Roman" w:cs="黑体"/>
          <w:sz w:val="30"/>
          <w:szCs w:val="30"/>
        </w:rPr>
      </w:pPr>
      <w:r>
        <w:rPr>
          <w:rFonts w:hAnsi="Times New Roman" w:cs="黑体" w:hint="eastAsia"/>
          <w:sz w:val="30"/>
          <w:szCs w:val="30"/>
        </w:rPr>
        <w:t>五、《财政拨款收入支出决算总表》</w:t>
      </w:r>
    </w:p>
    <w:p w:rsidR="000471AC" w:rsidRDefault="000471AC">
      <w:pPr>
        <w:pStyle w:val="2"/>
        <w:keepNext/>
        <w:keepLines/>
        <w:spacing w:line="800" w:lineRule="exact"/>
        <w:ind w:firstLine="600"/>
        <w:rPr>
          <w:rFonts w:hAnsi="Times New Roman" w:cs="黑体"/>
          <w:sz w:val="30"/>
          <w:szCs w:val="30"/>
        </w:rPr>
      </w:pPr>
      <w:r>
        <w:rPr>
          <w:rFonts w:hAnsi="Times New Roman" w:cs="黑体" w:hint="eastAsia"/>
          <w:sz w:val="30"/>
          <w:szCs w:val="30"/>
        </w:rPr>
        <w:t>六、《一般公共预算财政拨款支出决算表》</w:t>
      </w:r>
    </w:p>
    <w:p w:rsidR="000471AC" w:rsidRDefault="000471AC">
      <w:pPr>
        <w:pStyle w:val="2"/>
        <w:keepNext/>
        <w:keepLines/>
        <w:spacing w:line="800" w:lineRule="exact"/>
        <w:ind w:firstLine="600"/>
        <w:rPr>
          <w:rFonts w:hAnsi="Times New Roman" w:cs="黑体"/>
          <w:sz w:val="30"/>
          <w:szCs w:val="30"/>
        </w:rPr>
      </w:pPr>
      <w:r>
        <w:rPr>
          <w:rFonts w:hAnsi="Times New Roman" w:cs="黑体" w:hint="eastAsia"/>
          <w:sz w:val="30"/>
          <w:szCs w:val="30"/>
        </w:rPr>
        <w:t>七、《一般公共预算财政拨款基本支出决算表》</w:t>
      </w:r>
    </w:p>
    <w:p w:rsidR="000471AC" w:rsidRDefault="000471AC">
      <w:pPr>
        <w:pStyle w:val="2"/>
        <w:keepNext/>
        <w:keepLines/>
        <w:spacing w:line="800" w:lineRule="exact"/>
        <w:ind w:firstLine="600"/>
        <w:rPr>
          <w:rFonts w:hAnsi="Times New Roman" w:cs="黑体"/>
          <w:sz w:val="30"/>
          <w:szCs w:val="30"/>
        </w:rPr>
      </w:pPr>
      <w:r>
        <w:rPr>
          <w:rFonts w:hAnsi="Times New Roman" w:cs="黑体" w:hint="eastAsia"/>
          <w:sz w:val="30"/>
          <w:szCs w:val="30"/>
        </w:rPr>
        <w:t>八、《政府性基金预算财政拨款收入支出决算表》</w:t>
      </w:r>
    </w:p>
    <w:p w:rsidR="000471AC" w:rsidRDefault="000471AC">
      <w:pPr>
        <w:pStyle w:val="2"/>
        <w:keepNext/>
        <w:keepLines/>
        <w:spacing w:line="800" w:lineRule="exact"/>
        <w:ind w:firstLine="600"/>
        <w:rPr>
          <w:rFonts w:hAnsi="Times New Roman" w:cs="黑体"/>
          <w:sz w:val="30"/>
          <w:szCs w:val="30"/>
        </w:rPr>
      </w:pPr>
      <w:r>
        <w:rPr>
          <w:rFonts w:hAnsi="Times New Roman" w:cs="黑体" w:hint="eastAsia"/>
          <w:sz w:val="30"/>
          <w:szCs w:val="30"/>
        </w:rPr>
        <w:t>九、《国有资本经营预算财政拨款收入支出决算表》</w:t>
      </w:r>
    </w:p>
    <w:p w:rsidR="000471AC" w:rsidRDefault="000471AC">
      <w:pPr>
        <w:pStyle w:val="2"/>
        <w:keepNext/>
        <w:keepLines/>
        <w:spacing w:line="800" w:lineRule="exact"/>
        <w:ind w:firstLine="600"/>
        <w:rPr>
          <w:rFonts w:hAnsi="Times New Roman" w:cs="黑体"/>
          <w:sz w:val="30"/>
          <w:szCs w:val="30"/>
        </w:rPr>
      </w:pPr>
      <w:r>
        <w:rPr>
          <w:rFonts w:hAnsi="Times New Roman" w:cs="黑体" w:hint="eastAsia"/>
          <w:sz w:val="30"/>
          <w:szCs w:val="30"/>
        </w:rPr>
        <w:t>十、《一般公共预算财政拨款</w:t>
      </w:r>
      <w:r>
        <w:rPr>
          <w:rFonts w:ascii="Times New Roman" w:hAnsi="Times New Roman" w:cs="黑体"/>
          <w:sz w:val="30"/>
          <w:szCs w:val="30"/>
        </w:rPr>
        <w:t>“</w:t>
      </w:r>
      <w:r>
        <w:rPr>
          <w:rFonts w:hAnsi="Times New Roman" w:cs="黑体" w:hint="eastAsia"/>
          <w:sz w:val="30"/>
          <w:szCs w:val="30"/>
        </w:rPr>
        <w:t>三公</w:t>
      </w:r>
      <w:r>
        <w:rPr>
          <w:rFonts w:ascii="Times New Roman" w:hAnsi="Times New Roman" w:cs="黑体"/>
          <w:sz w:val="30"/>
          <w:szCs w:val="30"/>
        </w:rPr>
        <w:t>”</w:t>
      </w:r>
      <w:r>
        <w:rPr>
          <w:rFonts w:hAnsi="Times New Roman" w:cs="黑体" w:hint="eastAsia"/>
          <w:sz w:val="30"/>
          <w:szCs w:val="30"/>
        </w:rPr>
        <w:t>经费支出决算表》</w:t>
      </w:r>
    </w:p>
    <w:p w:rsidR="000471AC" w:rsidRDefault="000471AC">
      <w:pPr>
        <w:pStyle w:val="2"/>
        <w:keepNext/>
        <w:keepLines/>
        <w:spacing w:line="800" w:lineRule="exact"/>
        <w:ind w:firstLine="600"/>
        <w:rPr>
          <w:rFonts w:hAnsi="Times New Roman" w:cs="黑体"/>
          <w:sz w:val="30"/>
          <w:szCs w:val="30"/>
        </w:rPr>
      </w:pPr>
      <w:r>
        <w:rPr>
          <w:rFonts w:hAnsi="Times New Roman" w:cs="黑体" w:hint="eastAsia"/>
          <w:sz w:val="30"/>
          <w:szCs w:val="30"/>
        </w:rPr>
        <w:t>十一、《项目支出决算表》</w:t>
      </w:r>
    </w:p>
    <w:p w:rsidR="000471AC" w:rsidRDefault="000471AC">
      <w:pPr>
        <w:spacing w:line="600" w:lineRule="exact"/>
        <w:rPr>
          <w:rFonts w:hAnsi="Times New Roman" w:cs="黑体"/>
          <w:b/>
          <w:sz w:val="30"/>
          <w:szCs w:val="30"/>
        </w:rPr>
      </w:pPr>
      <w:r>
        <w:rPr>
          <w:rFonts w:ascii="Times New Roman" w:eastAsia="楷体" w:hAnsi="Times New Roman" w:cs="Times New Roman"/>
        </w:rPr>
        <w:br w:type="page"/>
      </w:r>
      <w:r>
        <w:rPr>
          <w:rFonts w:ascii="Times New Roman" w:eastAsia="楷体" w:hAnsi="Times New Roman" w:cs="Times New Roman"/>
        </w:rPr>
        <w:lastRenderedPageBreak/>
        <w:t xml:space="preserve">    </w:t>
      </w:r>
      <w:r>
        <w:rPr>
          <w:rFonts w:hAnsi="Times New Roman" w:cs="黑体" w:hint="eastAsia"/>
          <w:b/>
          <w:sz w:val="30"/>
          <w:szCs w:val="30"/>
        </w:rPr>
        <w:t>十二、关于空表的说明</w:t>
      </w:r>
    </w:p>
    <w:p w:rsidR="000471AC" w:rsidRDefault="000471AC">
      <w:pPr>
        <w:spacing w:line="640" w:lineRule="exact"/>
        <w:ind w:firstLine="600"/>
        <w:rPr>
          <w:rFonts w:ascii="楷体" w:eastAsia="楷体" w:hAnsi="Times New Roman" w:cs="Times New Roman"/>
          <w:noProof/>
          <w:sz w:val="30"/>
        </w:rPr>
      </w:pPr>
      <w:r>
        <w:rPr>
          <w:rFonts w:ascii="楷体" w:eastAsia="楷体" w:hAnsi="Times New Roman" w:cs="Times New Roman"/>
          <w:noProof/>
          <w:sz w:val="30"/>
        </w:rPr>
        <w:t xml:space="preserve">1. </w:t>
      </w:r>
      <w:r>
        <w:rPr>
          <w:rFonts w:ascii="楷体" w:eastAsia="楷体" w:hAnsi="Times New Roman" w:cs="Times New Roman" w:hint="eastAsia"/>
          <w:noProof/>
          <w:sz w:val="30"/>
        </w:rPr>
        <w:t>“天津渤海化工有限责任公司（本级）”</w:t>
      </w:r>
      <w:r>
        <w:rPr>
          <w:rFonts w:ascii="楷体" w:eastAsia="楷体" w:hAnsi="Times New Roman" w:cs="Times New Roman"/>
          <w:noProof/>
          <w:sz w:val="30"/>
        </w:rPr>
        <w:t>2022</w:t>
      </w:r>
      <w:r>
        <w:rPr>
          <w:rFonts w:ascii="楷体" w:eastAsia="楷体" w:hAnsi="Times New Roman" w:cs="Times New Roman" w:hint="eastAsia"/>
          <w:noProof/>
          <w:sz w:val="30"/>
        </w:rPr>
        <w:t>年度一般公共预算“三公”经费支出情况表为空表。</w:t>
      </w:r>
    </w:p>
    <w:p w:rsidR="000471AC" w:rsidRDefault="000471AC">
      <w:pPr>
        <w:spacing w:line="640" w:lineRule="exact"/>
        <w:ind w:firstLine="600"/>
        <w:rPr>
          <w:rFonts w:ascii="楷体" w:eastAsia="楷体" w:hAnsi="Times New Roman" w:cs="Times New Roman"/>
          <w:noProof/>
          <w:sz w:val="30"/>
        </w:rPr>
      </w:pPr>
      <w:r>
        <w:rPr>
          <w:rFonts w:ascii="楷体" w:eastAsia="楷体" w:hAnsi="Times New Roman" w:cs="Times New Roman"/>
          <w:noProof/>
          <w:sz w:val="30"/>
        </w:rPr>
        <w:t>2.</w:t>
      </w:r>
      <w:r>
        <w:rPr>
          <w:rFonts w:ascii="楷体" w:eastAsia="楷体" w:hAnsi="Times New Roman" w:cs="Times New Roman" w:hint="eastAsia"/>
          <w:noProof/>
          <w:sz w:val="30"/>
        </w:rPr>
        <w:t>“天津渤海化工有限责任公司（本级）”</w:t>
      </w:r>
      <w:r>
        <w:rPr>
          <w:rFonts w:ascii="楷体" w:eastAsia="楷体" w:hAnsi="Times New Roman" w:cs="Times New Roman"/>
          <w:noProof/>
          <w:sz w:val="30"/>
        </w:rPr>
        <w:t>2022</w:t>
      </w:r>
      <w:r>
        <w:rPr>
          <w:rFonts w:ascii="楷体" w:eastAsia="楷体" w:hAnsi="Times New Roman" w:cs="Times New Roman" w:hint="eastAsia"/>
          <w:noProof/>
          <w:sz w:val="30"/>
        </w:rPr>
        <w:t>年度政府性基金预算财政拨款收入支出决算表为空表。</w:t>
      </w:r>
    </w:p>
    <w:p w:rsidR="000471AC" w:rsidRDefault="000471AC">
      <w:pPr>
        <w:spacing w:line="640" w:lineRule="exact"/>
        <w:ind w:firstLine="600"/>
        <w:rPr>
          <w:rFonts w:ascii="楷体" w:eastAsia="楷体" w:hAnsi="Times New Roman" w:cs="Times New Roman"/>
          <w:noProof/>
          <w:sz w:val="30"/>
        </w:rPr>
      </w:pPr>
      <w:r>
        <w:rPr>
          <w:rFonts w:ascii="楷体" w:eastAsia="楷体" w:hAnsi="Times New Roman" w:cs="Times New Roman"/>
          <w:noProof/>
          <w:sz w:val="30"/>
        </w:rPr>
        <w:t>3.</w:t>
      </w:r>
      <w:r>
        <w:rPr>
          <w:rFonts w:ascii="楷体" w:eastAsia="楷体" w:hAnsi="Times New Roman" w:cs="Times New Roman" w:hint="eastAsia"/>
          <w:noProof/>
          <w:sz w:val="30"/>
        </w:rPr>
        <w:t>“天津渤海化工有限责任公司（本级）”</w:t>
      </w:r>
      <w:r>
        <w:rPr>
          <w:rFonts w:ascii="楷体" w:eastAsia="楷体" w:hAnsi="Times New Roman" w:cs="Times New Roman"/>
          <w:noProof/>
          <w:sz w:val="30"/>
        </w:rPr>
        <w:t>2022</w:t>
      </w:r>
      <w:r>
        <w:rPr>
          <w:rFonts w:ascii="楷体" w:eastAsia="楷体" w:hAnsi="Times New Roman" w:cs="Times New Roman" w:hint="eastAsia"/>
          <w:noProof/>
          <w:sz w:val="30"/>
        </w:rPr>
        <w:t>年度国有资本经营预算财政拨款收入支出决算表为空表。</w:t>
      </w:r>
    </w:p>
    <w:p w:rsidR="000471AC" w:rsidRDefault="000471AC">
      <w:pPr>
        <w:spacing w:line="640" w:lineRule="exact"/>
        <w:ind w:firstLine="600"/>
        <w:rPr>
          <w:rFonts w:ascii="楷体" w:eastAsia="楷体" w:hAnsi="Times New Roman" w:cs="Times New Roman"/>
          <w:noProof/>
          <w:sz w:val="30"/>
        </w:rPr>
      </w:pPr>
      <w:r>
        <w:rPr>
          <w:rFonts w:ascii="楷体" w:eastAsia="楷体" w:hAnsi="Times New Roman" w:cs="Times New Roman"/>
          <w:noProof/>
          <w:sz w:val="30"/>
        </w:rPr>
        <w:t xml:space="preserve">4. </w:t>
      </w:r>
      <w:r>
        <w:rPr>
          <w:rFonts w:ascii="楷体" w:eastAsia="楷体" w:hAnsi="Times New Roman" w:cs="Times New Roman" w:hint="eastAsia"/>
          <w:noProof/>
          <w:sz w:val="30"/>
        </w:rPr>
        <w:t>“天津渤海化工有限责任公司（本级）”</w:t>
      </w:r>
      <w:r>
        <w:rPr>
          <w:rFonts w:ascii="楷体" w:eastAsia="楷体" w:hAnsi="Times New Roman" w:cs="Times New Roman"/>
          <w:noProof/>
          <w:sz w:val="30"/>
        </w:rPr>
        <w:t>2022</w:t>
      </w:r>
      <w:r>
        <w:rPr>
          <w:rFonts w:ascii="楷体" w:eastAsia="楷体" w:hAnsi="Times New Roman" w:cs="Times New Roman" w:hint="eastAsia"/>
          <w:noProof/>
          <w:sz w:val="30"/>
        </w:rPr>
        <w:t>年度项目支出表为空表。</w:t>
      </w:r>
    </w:p>
    <w:p w:rsidR="000471AC" w:rsidRDefault="000471AC">
      <w:pPr>
        <w:spacing w:line="640" w:lineRule="exact"/>
        <w:ind w:firstLine="600"/>
        <w:rPr>
          <w:rFonts w:ascii="楷体" w:eastAsia="楷体" w:hAnsi="Times New Roman" w:cs="楷体"/>
          <w:sz w:val="30"/>
          <w:szCs w:val="30"/>
        </w:rPr>
      </w:pPr>
    </w:p>
    <w:p w:rsidR="000471AC" w:rsidRDefault="000471AC">
      <w:pPr>
        <w:spacing w:line="640" w:lineRule="exact"/>
        <w:ind w:firstLine="600"/>
        <w:rPr>
          <w:rFonts w:ascii="楷体" w:eastAsia="楷体" w:hAnsi="Times New Roman" w:cs="楷体"/>
          <w:sz w:val="30"/>
          <w:szCs w:val="30"/>
        </w:rPr>
      </w:pPr>
    </w:p>
    <w:p w:rsidR="000471AC" w:rsidRDefault="000471AC">
      <w:pPr>
        <w:spacing w:line="640" w:lineRule="exact"/>
        <w:ind w:firstLine="600"/>
        <w:rPr>
          <w:rFonts w:ascii="楷体" w:eastAsia="楷体" w:hAnsi="Times New Roman" w:cs="楷体"/>
          <w:sz w:val="30"/>
          <w:szCs w:val="30"/>
        </w:rPr>
      </w:pPr>
    </w:p>
    <w:p w:rsidR="000471AC" w:rsidRDefault="000471AC">
      <w:pPr>
        <w:spacing w:line="640" w:lineRule="exact"/>
        <w:ind w:firstLine="600"/>
        <w:rPr>
          <w:rFonts w:ascii="楷体" w:eastAsia="楷体" w:hAnsi="Times New Roman" w:cs="楷体"/>
          <w:sz w:val="30"/>
          <w:szCs w:val="30"/>
        </w:rPr>
      </w:pPr>
    </w:p>
    <w:p w:rsidR="000471AC" w:rsidRDefault="000471AC">
      <w:pPr>
        <w:spacing w:line="640" w:lineRule="exact"/>
        <w:ind w:firstLine="600"/>
        <w:rPr>
          <w:rFonts w:ascii="楷体" w:eastAsia="楷体" w:hAnsi="Times New Roman" w:cs="楷体"/>
          <w:sz w:val="30"/>
          <w:szCs w:val="30"/>
        </w:rPr>
      </w:pPr>
    </w:p>
    <w:p w:rsidR="000471AC" w:rsidRDefault="000471AC">
      <w:pPr>
        <w:spacing w:line="640" w:lineRule="exact"/>
        <w:ind w:firstLine="600"/>
        <w:rPr>
          <w:rFonts w:ascii="楷体" w:eastAsia="楷体" w:hAnsi="Times New Roman" w:cs="楷体"/>
          <w:sz w:val="30"/>
          <w:szCs w:val="30"/>
        </w:rPr>
      </w:pPr>
    </w:p>
    <w:p w:rsidR="000471AC" w:rsidRDefault="000471AC">
      <w:pPr>
        <w:spacing w:line="640" w:lineRule="exact"/>
        <w:ind w:firstLine="600"/>
        <w:rPr>
          <w:rFonts w:ascii="楷体" w:eastAsia="楷体" w:hAnsi="Times New Roman" w:cs="楷体"/>
          <w:sz w:val="30"/>
          <w:szCs w:val="30"/>
        </w:rPr>
      </w:pPr>
    </w:p>
    <w:p w:rsidR="000471AC" w:rsidRDefault="000471AC">
      <w:pPr>
        <w:spacing w:line="640" w:lineRule="exact"/>
        <w:ind w:firstLine="600"/>
        <w:rPr>
          <w:rFonts w:ascii="楷体" w:eastAsia="楷体" w:hAnsi="Times New Roman" w:cs="楷体"/>
          <w:sz w:val="30"/>
          <w:szCs w:val="30"/>
        </w:rPr>
      </w:pPr>
    </w:p>
    <w:p w:rsidR="000471AC" w:rsidRDefault="000471AC">
      <w:pPr>
        <w:spacing w:line="640" w:lineRule="exact"/>
        <w:ind w:firstLine="600"/>
        <w:rPr>
          <w:rFonts w:ascii="楷体" w:eastAsia="楷体" w:hAnsi="Times New Roman" w:cs="楷体"/>
          <w:sz w:val="30"/>
          <w:szCs w:val="30"/>
        </w:rPr>
      </w:pPr>
    </w:p>
    <w:p w:rsidR="000471AC" w:rsidRDefault="000471AC">
      <w:pPr>
        <w:pStyle w:val="1"/>
        <w:keepNext/>
        <w:keepLines/>
        <w:spacing w:line="600" w:lineRule="exact"/>
        <w:jc w:val="center"/>
        <w:rPr>
          <w:rFonts w:ascii="方正小标宋简体" w:eastAsia="方正小标宋简体" w:hAnsi="Times New Roman" w:cs="方正小标宋简体"/>
          <w:b/>
          <w:kern w:val="44"/>
          <w:sz w:val="44"/>
          <w:szCs w:val="44"/>
        </w:rPr>
      </w:pPr>
    </w:p>
    <w:p w:rsidR="000471AC" w:rsidRDefault="000471AC">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第三部分</w:t>
      </w:r>
      <w:r>
        <w:rPr>
          <w:rFonts w:ascii="方正小标宋简体" w:eastAsia="方正小标宋简体" w:hAnsi="Times New Roman" w:cs="方正小标宋简体"/>
          <w:kern w:val="44"/>
          <w:sz w:val="44"/>
          <w:szCs w:val="44"/>
        </w:rPr>
        <w:t xml:space="preserve">  2022</w:t>
      </w:r>
      <w:r>
        <w:rPr>
          <w:rFonts w:ascii="方正小标宋简体" w:eastAsia="方正小标宋简体" w:hAnsi="Times New Roman" w:cs="方正小标宋简体" w:hint="eastAsia"/>
          <w:kern w:val="44"/>
          <w:sz w:val="44"/>
          <w:szCs w:val="44"/>
        </w:rPr>
        <w:t>年度部门决算情况说明</w:t>
      </w:r>
    </w:p>
    <w:p w:rsidR="000471AC" w:rsidRDefault="000471AC">
      <w:pPr>
        <w:spacing w:line="580" w:lineRule="exact"/>
        <w:ind w:firstLine="600"/>
        <w:rPr>
          <w:rFonts w:hAnsi="Times New Roman" w:cs="黑体"/>
          <w:kern w:val="2"/>
          <w:sz w:val="30"/>
          <w:szCs w:val="30"/>
          <w:lang w:val="zh-CN"/>
        </w:rPr>
      </w:pPr>
    </w:p>
    <w:p w:rsidR="000471AC" w:rsidRDefault="000471AC">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一、收入支出决算总体情况说明</w:t>
      </w:r>
    </w:p>
    <w:p w:rsidR="000471AC" w:rsidRPr="00267029"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年度收入、支出决算总计</w:t>
      </w:r>
      <w:r>
        <w:rPr>
          <w:rFonts w:ascii="仿宋_GB2312" w:eastAsia="仿宋_GB2312" w:hAnsi="仿宋_GB2312" w:cs="仿宋_GB2312"/>
          <w:sz w:val="30"/>
          <w:szCs w:val="30"/>
          <w:lang w:val="zh-CN"/>
        </w:rPr>
        <w:t>9,513,300.00</w:t>
      </w:r>
      <w:r>
        <w:rPr>
          <w:rFonts w:ascii="仿宋_GB2312" w:eastAsia="仿宋_GB2312" w:hAnsi="仿宋_GB2312" w:cs="仿宋_GB2312" w:hint="eastAsia"/>
          <w:sz w:val="30"/>
          <w:szCs w:val="30"/>
          <w:lang w:val="zh-CN"/>
        </w:rPr>
        <w:t>元，与</w:t>
      </w:r>
      <w:r>
        <w:rPr>
          <w:rFonts w:ascii="仿宋_GB2312" w:eastAsia="仿宋_GB2312" w:hAnsi="仿宋_GB2312" w:cs="仿宋_GB2312"/>
          <w:sz w:val="30"/>
          <w:szCs w:val="30"/>
          <w:lang w:val="zh-CN"/>
        </w:rPr>
        <w:t>2021</w:t>
      </w:r>
      <w:r>
        <w:rPr>
          <w:rFonts w:ascii="仿宋_GB2312" w:eastAsia="仿宋_GB2312" w:hAnsi="仿宋_GB2312" w:cs="仿宋_GB2312" w:hint="eastAsia"/>
          <w:sz w:val="30"/>
          <w:szCs w:val="30"/>
          <w:lang w:val="zh-CN"/>
        </w:rPr>
        <w:t>年度相比，收、支总计各增加</w:t>
      </w:r>
      <w:r>
        <w:rPr>
          <w:rFonts w:ascii="仿宋_GB2312" w:eastAsia="仿宋_GB2312" w:hAnsi="仿宋_GB2312" w:cs="仿宋_GB2312"/>
          <w:sz w:val="30"/>
          <w:szCs w:val="30"/>
          <w:lang w:val="zh-CN"/>
        </w:rPr>
        <w:t>12,102.45</w:t>
      </w:r>
      <w:r>
        <w:rPr>
          <w:rFonts w:ascii="仿宋_GB2312" w:eastAsia="仿宋_GB2312" w:hAnsi="仿宋_GB2312" w:cs="仿宋_GB2312" w:hint="eastAsia"/>
          <w:sz w:val="30"/>
          <w:szCs w:val="30"/>
          <w:lang w:val="zh-CN"/>
        </w:rPr>
        <w:t>元，增长</w:t>
      </w:r>
      <w:r>
        <w:rPr>
          <w:rFonts w:ascii="仿宋_GB2312" w:eastAsia="仿宋_GB2312" w:hAnsi="仿宋_GB2312" w:cs="仿宋_GB2312"/>
          <w:sz w:val="30"/>
          <w:szCs w:val="30"/>
          <w:lang w:val="zh-CN"/>
        </w:rPr>
        <w:t>0.13%</w:t>
      </w:r>
      <w:r>
        <w:rPr>
          <w:rFonts w:ascii="仿宋_GB2312" w:eastAsia="仿宋_GB2312" w:hAnsi="仿宋_GB2312" w:cs="仿宋_GB2312" w:hint="eastAsia"/>
          <w:sz w:val="30"/>
          <w:szCs w:val="30"/>
          <w:lang w:val="zh-CN"/>
        </w:rPr>
        <w:t>，</w:t>
      </w:r>
      <w:r w:rsidR="00267029">
        <w:rPr>
          <w:rFonts w:ascii="仿宋_GB2312" w:eastAsia="仿宋_GB2312" w:hAnsi="仿宋_GB2312" w:cs="仿宋_GB2312" w:hint="eastAsia"/>
          <w:sz w:val="30"/>
          <w:szCs w:val="30"/>
          <w:lang w:val="zh-CN"/>
        </w:rPr>
        <w:t>主要原因是：离退人员增资</w:t>
      </w:r>
      <w:r w:rsidRPr="00267029">
        <w:rPr>
          <w:rFonts w:ascii="仿宋_GB2312" w:eastAsia="仿宋_GB2312" w:hAnsi="仿宋_GB2312" w:cs="仿宋_GB2312" w:hint="eastAsia"/>
          <w:sz w:val="30"/>
          <w:szCs w:val="30"/>
          <w:lang w:val="zh-CN"/>
        </w:rPr>
        <w:t>。</w:t>
      </w:r>
    </w:p>
    <w:p w:rsidR="000471AC" w:rsidRDefault="000471AC">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二、</w:t>
      </w:r>
      <w:r>
        <w:rPr>
          <w:rFonts w:hAnsi="Times New Roman" w:cs="黑体" w:hint="eastAsia"/>
          <w:b/>
          <w:sz w:val="30"/>
          <w:szCs w:val="30"/>
        </w:rPr>
        <w:t>收入决算情况</w:t>
      </w:r>
      <w:r>
        <w:rPr>
          <w:rFonts w:hAnsi="Times New Roman" w:cs="黑体" w:hint="eastAsia"/>
          <w:b/>
          <w:sz w:val="30"/>
          <w:szCs w:val="30"/>
          <w:lang w:val="zh-CN"/>
        </w:rPr>
        <w:t>说明</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年度本年收入合计</w:t>
      </w:r>
      <w:r>
        <w:rPr>
          <w:rFonts w:ascii="仿宋_GB2312" w:eastAsia="仿宋_GB2312" w:hAnsi="仿宋_GB2312" w:cs="仿宋_GB2312"/>
          <w:sz w:val="30"/>
          <w:szCs w:val="30"/>
          <w:lang w:val="zh-CN"/>
        </w:rPr>
        <w:t>9,513,300.00</w:t>
      </w:r>
      <w:r>
        <w:rPr>
          <w:rFonts w:ascii="仿宋_GB2312" w:eastAsia="仿宋_GB2312" w:hAnsi="仿宋_GB2312" w:cs="仿宋_GB2312" w:hint="eastAsia"/>
          <w:sz w:val="30"/>
          <w:szCs w:val="30"/>
          <w:lang w:val="zh-CN"/>
        </w:rPr>
        <w:t>元，与</w:t>
      </w:r>
      <w:r>
        <w:rPr>
          <w:rFonts w:ascii="仿宋_GB2312" w:eastAsia="仿宋_GB2312" w:hAnsi="仿宋_GB2312" w:cs="仿宋_GB2312"/>
          <w:sz w:val="30"/>
          <w:szCs w:val="30"/>
          <w:lang w:val="zh-CN"/>
        </w:rPr>
        <w:t>2021</w:t>
      </w:r>
      <w:r>
        <w:rPr>
          <w:rFonts w:ascii="仿宋_GB2312" w:eastAsia="仿宋_GB2312" w:hAnsi="仿宋_GB2312" w:cs="仿宋_GB2312" w:hint="eastAsia"/>
          <w:sz w:val="30"/>
          <w:szCs w:val="30"/>
          <w:lang w:val="zh-CN"/>
        </w:rPr>
        <w:t>年度相比增加</w:t>
      </w:r>
      <w:r>
        <w:rPr>
          <w:rFonts w:ascii="仿宋_GB2312" w:eastAsia="仿宋_GB2312" w:hAnsi="仿宋_GB2312" w:cs="仿宋_GB2312"/>
          <w:sz w:val="30"/>
          <w:szCs w:val="30"/>
          <w:lang w:val="zh-CN"/>
        </w:rPr>
        <w:t>12,102.45</w:t>
      </w:r>
      <w:r w:rsidRPr="00267029">
        <w:rPr>
          <w:rFonts w:ascii="仿宋_GB2312" w:eastAsia="仿宋_GB2312" w:hAnsi="仿宋_GB2312" w:cs="仿宋_GB2312" w:hint="eastAsia"/>
          <w:sz w:val="30"/>
          <w:szCs w:val="30"/>
          <w:lang w:val="zh-CN"/>
        </w:rPr>
        <w:t>元，主要原因是：</w:t>
      </w:r>
      <w:r w:rsidR="00267029">
        <w:rPr>
          <w:rFonts w:ascii="仿宋_GB2312" w:eastAsia="仿宋_GB2312" w:hAnsi="仿宋_GB2312" w:cs="仿宋_GB2312" w:hint="eastAsia"/>
          <w:sz w:val="30"/>
          <w:szCs w:val="30"/>
          <w:lang w:val="zh-CN"/>
        </w:rPr>
        <w:t>离退人员增资</w:t>
      </w:r>
      <w:r>
        <w:rPr>
          <w:rFonts w:ascii="仿宋_GB2312" w:eastAsia="仿宋_GB2312" w:hAnsi="仿宋_GB2312" w:cs="仿宋_GB2312" w:hint="eastAsia"/>
          <w:color w:val="FF0000"/>
          <w:sz w:val="30"/>
          <w:szCs w:val="30"/>
          <w:lang w:val="zh-CN"/>
        </w:rPr>
        <w:t>。</w:t>
      </w:r>
      <w:r>
        <w:rPr>
          <w:rFonts w:ascii="仿宋_GB2312" w:eastAsia="仿宋_GB2312" w:hAnsi="仿宋_GB2312" w:cs="仿宋_GB2312" w:hint="eastAsia"/>
          <w:sz w:val="30"/>
          <w:szCs w:val="30"/>
          <w:lang w:val="zh-CN"/>
        </w:rPr>
        <w:t>其中：一般公共预算财政拨款收入</w:t>
      </w:r>
      <w:r>
        <w:rPr>
          <w:rFonts w:ascii="仿宋_GB2312" w:eastAsia="仿宋_GB2312" w:hAnsi="仿宋_GB2312" w:cs="仿宋_GB2312"/>
          <w:sz w:val="30"/>
          <w:szCs w:val="30"/>
          <w:lang w:val="zh-CN"/>
        </w:rPr>
        <w:t>9,513,300.00</w:t>
      </w:r>
      <w:r>
        <w:rPr>
          <w:rFonts w:ascii="仿宋_GB2312" w:eastAsia="仿宋_GB2312" w:hAnsi="仿宋_GB2312" w:cs="仿宋_GB2312" w:hint="eastAsia"/>
          <w:sz w:val="30"/>
          <w:szCs w:val="30"/>
          <w:lang w:val="zh-CN"/>
        </w:rPr>
        <w:t>元，占</w:t>
      </w:r>
      <w:r>
        <w:rPr>
          <w:rFonts w:ascii="仿宋_GB2312" w:eastAsia="仿宋_GB2312" w:hAnsi="仿宋_GB2312" w:cs="仿宋_GB2312"/>
          <w:sz w:val="30"/>
          <w:szCs w:val="30"/>
          <w:lang w:val="zh-CN"/>
        </w:rPr>
        <w:t>100.00%</w:t>
      </w:r>
      <w:r>
        <w:rPr>
          <w:rFonts w:ascii="仿宋_GB2312" w:eastAsia="仿宋_GB2312" w:hAnsi="仿宋_GB2312" w:cs="仿宋_GB2312" w:hint="eastAsia"/>
          <w:sz w:val="30"/>
          <w:szCs w:val="30"/>
          <w:lang w:val="zh-CN"/>
        </w:rPr>
        <w:t>。</w:t>
      </w:r>
    </w:p>
    <w:p w:rsidR="000471AC" w:rsidRDefault="000471AC">
      <w:pPr>
        <w:pStyle w:val="2"/>
        <w:keepNext/>
        <w:keepLines/>
        <w:spacing w:line="600" w:lineRule="exact"/>
        <w:ind w:firstLine="602"/>
        <w:rPr>
          <w:rFonts w:hAnsi="Times New Roman" w:cs="黑体"/>
          <w:b/>
          <w:sz w:val="30"/>
          <w:szCs w:val="30"/>
        </w:rPr>
      </w:pPr>
      <w:r>
        <w:rPr>
          <w:rFonts w:hAnsi="Times New Roman" w:cs="黑体" w:hint="eastAsia"/>
          <w:b/>
          <w:sz w:val="30"/>
          <w:szCs w:val="30"/>
          <w:lang w:val="zh-CN"/>
        </w:rPr>
        <w:t>三、支出</w:t>
      </w:r>
      <w:r>
        <w:rPr>
          <w:rFonts w:hAnsi="Times New Roman" w:cs="黑体" w:hint="eastAsia"/>
          <w:b/>
          <w:sz w:val="30"/>
          <w:szCs w:val="30"/>
        </w:rPr>
        <w:t>决算情况说明</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年度本年支出合计</w:t>
      </w:r>
      <w:r>
        <w:rPr>
          <w:rFonts w:ascii="仿宋_GB2312" w:eastAsia="仿宋_GB2312" w:hAnsi="仿宋_GB2312" w:cs="仿宋_GB2312"/>
          <w:sz w:val="30"/>
          <w:szCs w:val="30"/>
          <w:lang w:val="zh-CN"/>
        </w:rPr>
        <w:t>9,513,300.00</w:t>
      </w:r>
      <w:r>
        <w:rPr>
          <w:rFonts w:ascii="仿宋_GB2312" w:eastAsia="仿宋_GB2312" w:hAnsi="仿宋_GB2312" w:cs="仿宋_GB2312" w:hint="eastAsia"/>
          <w:sz w:val="30"/>
          <w:szCs w:val="30"/>
          <w:lang w:val="zh-CN"/>
        </w:rPr>
        <w:t>元，与</w:t>
      </w:r>
      <w:r>
        <w:rPr>
          <w:rFonts w:ascii="仿宋_GB2312" w:eastAsia="仿宋_GB2312" w:hAnsi="仿宋_GB2312" w:cs="仿宋_GB2312"/>
          <w:sz w:val="30"/>
          <w:szCs w:val="30"/>
          <w:lang w:val="zh-CN"/>
        </w:rPr>
        <w:t>2021</w:t>
      </w:r>
      <w:r>
        <w:rPr>
          <w:rFonts w:ascii="仿宋_GB2312" w:eastAsia="仿宋_GB2312" w:hAnsi="仿宋_GB2312" w:cs="仿宋_GB2312" w:hint="eastAsia"/>
          <w:sz w:val="30"/>
          <w:szCs w:val="30"/>
          <w:lang w:val="zh-CN"/>
        </w:rPr>
        <w:t>年度相比增加</w:t>
      </w:r>
      <w:r>
        <w:rPr>
          <w:rFonts w:ascii="仿宋_GB2312" w:eastAsia="仿宋_GB2312" w:hAnsi="仿宋_GB2312" w:cs="仿宋_GB2312"/>
          <w:sz w:val="30"/>
          <w:szCs w:val="30"/>
          <w:lang w:val="zh-CN"/>
        </w:rPr>
        <w:t>12,102.45</w:t>
      </w:r>
      <w:r>
        <w:rPr>
          <w:rFonts w:ascii="仿宋_GB2312" w:eastAsia="仿宋_GB2312" w:hAnsi="仿宋_GB2312" w:cs="仿宋_GB2312" w:hint="eastAsia"/>
          <w:sz w:val="30"/>
          <w:szCs w:val="30"/>
          <w:lang w:val="zh-CN"/>
        </w:rPr>
        <w:t>元，</w:t>
      </w:r>
      <w:r w:rsidRPr="00267029">
        <w:rPr>
          <w:rFonts w:ascii="仿宋_GB2312" w:eastAsia="仿宋_GB2312" w:hAnsi="仿宋_GB2312" w:cs="仿宋_GB2312" w:hint="eastAsia"/>
          <w:sz w:val="30"/>
          <w:szCs w:val="30"/>
          <w:lang w:val="zh-CN"/>
        </w:rPr>
        <w:t>主要原因是：</w:t>
      </w:r>
      <w:r w:rsidR="00267029">
        <w:rPr>
          <w:rFonts w:ascii="仿宋_GB2312" w:eastAsia="仿宋_GB2312" w:hAnsi="仿宋_GB2312" w:cs="仿宋_GB2312" w:hint="eastAsia"/>
          <w:sz w:val="30"/>
          <w:szCs w:val="30"/>
          <w:lang w:val="zh-CN"/>
        </w:rPr>
        <w:t>离退人员增资</w:t>
      </w:r>
      <w:r w:rsidRPr="00267029">
        <w:rPr>
          <w:rFonts w:ascii="仿宋_GB2312" w:eastAsia="仿宋_GB2312" w:hAnsi="仿宋_GB2312" w:cs="仿宋_GB2312" w:hint="eastAsia"/>
          <w:sz w:val="30"/>
          <w:szCs w:val="30"/>
          <w:lang w:val="zh-CN"/>
        </w:rPr>
        <w:t>。</w:t>
      </w:r>
      <w:r>
        <w:rPr>
          <w:rFonts w:ascii="仿宋_GB2312" w:eastAsia="仿宋_GB2312" w:hAnsi="仿宋_GB2312" w:cs="仿宋_GB2312" w:hint="eastAsia"/>
          <w:sz w:val="30"/>
          <w:szCs w:val="30"/>
          <w:lang w:val="zh-CN"/>
        </w:rPr>
        <w:t>其中：基本支出</w:t>
      </w:r>
      <w:r>
        <w:rPr>
          <w:rFonts w:ascii="仿宋_GB2312" w:eastAsia="仿宋_GB2312" w:hAnsi="仿宋_GB2312" w:cs="仿宋_GB2312"/>
          <w:sz w:val="30"/>
          <w:szCs w:val="30"/>
          <w:lang w:val="zh-CN"/>
        </w:rPr>
        <w:t>9,513,300.00</w:t>
      </w:r>
      <w:r>
        <w:rPr>
          <w:rFonts w:ascii="仿宋_GB2312" w:eastAsia="仿宋_GB2312" w:hAnsi="仿宋_GB2312" w:cs="仿宋_GB2312" w:hint="eastAsia"/>
          <w:sz w:val="30"/>
          <w:szCs w:val="30"/>
          <w:lang w:val="zh-CN"/>
        </w:rPr>
        <w:t>元，占</w:t>
      </w:r>
      <w:r>
        <w:rPr>
          <w:rFonts w:ascii="仿宋_GB2312" w:eastAsia="仿宋_GB2312" w:hAnsi="仿宋_GB2312" w:cs="仿宋_GB2312"/>
          <w:sz w:val="30"/>
          <w:szCs w:val="30"/>
          <w:lang w:val="zh-CN"/>
        </w:rPr>
        <w:t>100.00%</w:t>
      </w:r>
      <w:r>
        <w:rPr>
          <w:rFonts w:ascii="仿宋_GB2312" w:eastAsia="仿宋_GB2312" w:hAnsi="仿宋_GB2312" w:cs="仿宋_GB2312" w:hint="eastAsia"/>
          <w:sz w:val="30"/>
          <w:szCs w:val="30"/>
          <w:lang w:val="zh-CN"/>
        </w:rPr>
        <w:t>。</w:t>
      </w:r>
    </w:p>
    <w:p w:rsidR="000471AC" w:rsidRDefault="000471AC">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四、财政拨款收支决算总体情况说明</w:t>
      </w:r>
    </w:p>
    <w:p w:rsidR="000471AC" w:rsidRDefault="000471AC">
      <w:pPr>
        <w:spacing w:line="600" w:lineRule="exact"/>
        <w:ind w:firstLine="600"/>
        <w:rPr>
          <w:rFonts w:ascii="仿宋_GB2312" w:eastAsia="仿宋_GB2312" w:hAnsi="仿宋_GB2312" w:cs="仿宋_GB2312"/>
          <w:color w:val="FF0000"/>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年度财政拨款收入、支出决算总计</w:t>
      </w:r>
      <w:r>
        <w:rPr>
          <w:rFonts w:ascii="仿宋_GB2312" w:eastAsia="仿宋_GB2312" w:hAnsi="仿宋_GB2312" w:cs="仿宋_GB2312"/>
          <w:sz w:val="30"/>
          <w:szCs w:val="30"/>
          <w:lang w:val="zh-CN"/>
        </w:rPr>
        <w:t>9,513,300.00</w:t>
      </w:r>
      <w:r>
        <w:rPr>
          <w:rFonts w:ascii="仿宋_GB2312" w:eastAsia="仿宋_GB2312" w:hAnsi="仿宋_GB2312" w:cs="仿宋_GB2312" w:hint="eastAsia"/>
          <w:sz w:val="30"/>
          <w:szCs w:val="30"/>
          <w:lang w:val="zh-CN"/>
        </w:rPr>
        <w:t>元，与</w:t>
      </w:r>
      <w:r>
        <w:rPr>
          <w:rFonts w:ascii="仿宋_GB2312" w:eastAsia="仿宋_GB2312" w:hAnsi="仿宋_GB2312" w:cs="仿宋_GB2312"/>
          <w:sz w:val="30"/>
          <w:szCs w:val="30"/>
          <w:lang w:val="zh-CN"/>
        </w:rPr>
        <w:t>2021</w:t>
      </w:r>
      <w:r>
        <w:rPr>
          <w:rFonts w:ascii="仿宋_GB2312" w:eastAsia="仿宋_GB2312" w:hAnsi="仿宋_GB2312" w:cs="仿宋_GB2312" w:hint="eastAsia"/>
          <w:sz w:val="30"/>
          <w:szCs w:val="30"/>
          <w:lang w:val="zh-CN"/>
        </w:rPr>
        <w:t>年度相比，财政拨款收、支总计各增加</w:t>
      </w:r>
      <w:r>
        <w:rPr>
          <w:rFonts w:ascii="仿宋_GB2312" w:eastAsia="仿宋_GB2312" w:hAnsi="仿宋_GB2312" w:cs="仿宋_GB2312"/>
          <w:sz w:val="30"/>
          <w:szCs w:val="30"/>
          <w:lang w:val="zh-CN"/>
        </w:rPr>
        <w:t>12,102.45</w:t>
      </w:r>
      <w:r>
        <w:rPr>
          <w:rFonts w:ascii="仿宋_GB2312" w:eastAsia="仿宋_GB2312" w:hAnsi="仿宋_GB2312" w:cs="仿宋_GB2312" w:hint="eastAsia"/>
          <w:sz w:val="30"/>
          <w:szCs w:val="30"/>
          <w:lang w:val="zh-CN"/>
        </w:rPr>
        <w:t>元，增长</w:t>
      </w:r>
      <w:r>
        <w:rPr>
          <w:rFonts w:ascii="仿宋_GB2312" w:eastAsia="仿宋_GB2312" w:hAnsi="仿宋_GB2312" w:cs="仿宋_GB2312"/>
          <w:sz w:val="30"/>
          <w:szCs w:val="30"/>
          <w:lang w:val="zh-CN"/>
        </w:rPr>
        <w:t>0.13%</w:t>
      </w:r>
      <w:r>
        <w:rPr>
          <w:rFonts w:ascii="仿宋_GB2312" w:eastAsia="仿宋_GB2312" w:hAnsi="仿宋_GB2312" w:cs="仿宋_GB2312" w:hint="eastAsia"/>
          <w:sz w:val="30"/>
          <w:szCs w:val="30"/>
          <w:lang w:val="zh-CN"/>
        </w:rPr>
        <w:t>，</w:t>
      </w:r>
      <w:r w:rsidRPr="00267029">
        <w:rPr>
          <w:rFonts w:ascii="仿宋_GB2312" w:eastAsia="仿宋_GB2312" w:hAnsi="仿宋_GB2312" w:cs="仿宋_GB2312" w:hint="eastAsia"/>
          <w:sz w:val="30"/>
          <w:szCs w:val="30"/>
          <w:lang w:val="zh-CN"/>
        </w:rPr>
        <w:t>主要原因是：</w:t>
      </w:r>
      <w:r w:rsidR="00267029" w:rsidRPr="00267029">
        <w:rPr>
          <w:rFonts w:ascii="仿宋_GB2312" w:eastAsia="仿宋_GB2312" w:hAnsi="仿宋_GB2312" w:cs="仿宋_GB2312" w:hint="eastAsia"/>
          <w:sz w:val="30"/>
          <w:szCs w:val="30"/>
          <w:lang w:val="zh-CN"/>
        </w:rPr>
        <w:t>离退人员增资</w:t>
      </w:r>
      <w:r w:rsidRPr="00267029">
        <w:rPr>
          <w:rFonts w:ascii="仿宋_GB2312" w:eastAsia="仿宋_GB2312" w:hAnsi="仿宋_GB2312" w:cs="仿宋_GB2312" w:hint="eastAsia"/>
          <w:sz w:val="30"/>
          <w:szCs w:val="30"/>
          <w:lang w:val="zh-CN"/>
        </w:rPr>
        <w:t>。</w:t>
      </w:r>
    </w:p>
    <w:p w:rsidR="000471AC" w:rsidRDefault="000471AC">
      <w:pPr>
        <w:pStyle w:val="2"/>
        <w:keepNext/>
        <w:keepLines/>
        <w:spacing w:line="600" w:lineRule="exact"/>
        <w:ind w:firstLine="602"/>
        <w:rPr>
          <w:rFonts w:hAnsi="Times New Roman" w:cs="黑体"/>
          <w:b/>
          <w:sz w:val="30"/>
          <w:szCs w:val="30"/>
        </w:rPr>
      </w:pPr>
      <w:r>
        <w:rPr>
          <w:rFonts w:hAnsi="Times New Roman" w:cs="黑体" w:hint="eastAsia"/>
          <w:b/>
          <w:sz w:val="30"/>
          <w:szCs w:val="30"/>
        </w:rPr>
        <w:lastRenderedPageBreak/>
        <w:t>五、一般公共预算财政拨款支出决算情况说明</w:t>
      </w:r>
    </w:p>
    <w:p w:rsidR="000471AC" w:rsidRDefault="000471AC">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（一）总体情况</w:t>
      </w:r>
    </w:p>
    <w:p w:rsidR="000471AC" w:rsidRDefault="000471AC">
      <w:pPr>
        <w:spacing w:line="600" w:lineRule="exact"/>
        <w:ind w:firstLine="600"/>
        <w:rPr>
          <w:rFonts w:ascii="仿宋_GB2312" w:eastAsia="仿宋_GB2312" w:hAnsi="仿宋_GB2312" w:cs="仿宋_GB2312"/>
          <w:color w:val="FF0000"/>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年度部门决算一般公共预算财政拨款支出合计</w:t>
      </w:r>
      <w:r>
        <w:rPr>
          <w:rFonts w:ascii="仿宋_GB2312" w:eastAsia="仿宋_GB2312" w:hAnsi="仿宋_GB2312" w:cs="仿宋_GB2312"/>
          <w:sz w:val="30"/>
          <w:szCs w:val="30"/>
          <w:lang w:val="zh-CN"/>
        </w:rPr>
        <w:t>9,513,300.00</w:t>
      </w:r>
      <w:r>
        <w:rPr>
          <w:rFonts w:ascii="仿宋_GB2312" w:eastAsia="仿宋_GB2312" w:hAnsi="仿宋_GB2312" w:cs="仿宋_GB2312" w:hint="eastAsia"/>
          <w:sz w:val="30"/>
          <w:szCs w:val="30"/>
          <w:lang w:val="zh-CN"/>
        </w:rPr>
        <w:t>元，占本年支出合计的</w:t>
      </w:r>
      <w:r>
        <w:rPr>
          <w:rFonts w:ascii="仿宋_GB2312" w:eastAsia="仿宋_GB2312" w:hAnsi="仿宋_GB2312" w:cs="仿宋_GB2312"/>
          <w:sz w:val="30"/>
          <w:szCs w:val="30"/>
          <w:lang w:val="zh-CN"/>
        </w:rPr>
        <w:t>100.00%</w:t>
      </w:r>
      <w:r>
        <w:rPr>
          <w:rFonts w:ascii="仿宋_GB2312" w:eastAsia="仿宋_GB2312" w:hAnsi="仿宋_GB2312" w:cs="仿宋_GB2312" w:hint="eastAsia"/>
          <w:sz w:val="30"/>
          <w:szCs w:val="30"/>
          <w:lang w:val="zh-CN"/>
        </w:rPr>
        <w:t>，与</w:t>
      </w:r>
      <w:r>
        <w:rPr>
          <w:rFonts w:ascii="仿宋_GB2312" w:eastAsia="仿宋_GB2312" w:hAnsi="仿宋_GB2312" w:cs="仿宋_GB2312"/>
          <w:sz w:val="30"/>
          <w:szCs w:val="30"/>
          <w:lang w:val="zh-CN"/>
        </w:rPr>
        <w:t>2021</w:t>
      </w:r>
      <w:r>
        <w:rPr>
          <w:rFonts w:ascii="仿宋_GB2312" w:eastAsia="仿宋_GB2312" w:hAnsi="仿宋_GB2312" w:cs="仿宋_GB2312" w:hint="eastAsia"/>
          <w:sz w:val="30"/>
          <w:szCs w:val="30"/>
          <w:lang w:val="zh-CN"/>
        </w:rPr>
        <w:t>年度相比，一般公共预算财政拨款支出增加</w:t>
      </w:r>
      <w:r>
        <w:rPr>
          <w:rFonts w:ascii="仿宋_GB2312" w:eastAsia="仿宋_GB2312" w:hAnsi="仿宋_GB2312" w:cs="仿宋_GB2312"/>
          <w:sz w:val="30"/>
          <w:szCs w:val="30"/>
          <w:lang w:val="zh-CN"/>
        </w:rPr>
        <w:t>12,102.45</w:t>
      </w:r>
      <w:r>
        <w:rPr>
          <w:rFonts w:ascii="仿宋_GB2312" w:eastAsia="仿宋_GB2312" w:hAnsi="仿宋_GB2312" w:cs="仿宋_GB2312" w:hint="eastAsia"/>
          <w:sz w:val="30"/>
          <w:szCs w:val="30"/>
          <w:lang w:val="zh-CN"/>
        </w:rPr>
        <w:t>元，增长</w:t>
      </w:r>
      <w:r>
        <w:rPr>
          <w:rFonts w:ascii="仿宋_GB2312" w:eastAsia="仿宋_GB2312" w:hAnsi="仿宋_GB2312" w:cs="仿宋_GB2312"/>
          <w:sz w:val="30"/>
          <w:szCs w:val="30"/>
          <w:lang w:val="zh-CN"/>
        </w:rPr>
        <w:t>0.13%</w:t>
      </w:r>
      <w:r>
        <w:rPr>
          <w:rFonts w:ascii="仿宋_GB2312" w:eastAsia="仿宋_GB2312" w:hAnsi="仿宋_GB2312" w:cs="仿宋_GB2312" w:hint="eastAsia"/>
          <w:sz w:val="30"/>
          <w:szCs w:val="30"/>
          <w:lang w:val="zh-CN"/>
        </w:rPr>
        <w:t>，</w:t>
      </w:r>
      <w:r w:rsidRPr="00267029">
        <w:rPr>
          <w:rFonts w:ascii="仿宋_GB2312" w:eastAsia="仿宋_GB2312" w:hAnsi="仿宋_GB2312" w:cs="仿宋_GB2312" w:hint="eastAsia"/>
          <w:sz w:val="30"/>
          <w:szCs w:val="30"/>
          <w:lang w:val="zh-CN"/>
        </w:rPr>
        <w:t>主要原因是：</w:t>
      </w:r>
      <w:r w:rsidR="00267029" w:rsidRPr="00267029">
        <w:rPr>
          <w:rFonts w:ascii="仿宋_GB2312" w:eastAsia="仿宋_GB2312" w:hAnsi="仿宋_GB2312" w:cs="仿宋_GB2312" w:hint="eastAsia"/>
          <w:sz w:val="30"/>
          <w:szCs w:val="30"/>
          <w:lang w:val="zh-CN"/>
        </w:rPr>
        <w:t>离退人员增资</w:t>
      </w:r>
      <w:r w:rsidRPr="00267029">
        <w:rPr>
          <w:rFonts w:ascii="仿宋_GB2312" w:eastAsia="仿宋_GB2312" w:hAnsi="仿宋_GB2312" w:cs="仿宋_GB2312" w:hint="eastAsia"/>
          <w:sz w:val="30"/>
          <w:szCs w:val="30"/>
          <w:lang w:val="zh-CN"/>
        </w:rPr>
        <w:t>。</w:t>
      </w:r>
    </w:p>
    <w:p w:rsidR="000471AC" w:rsidRDefault="000471AC">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（二）</w:t>
      </w:r>
      <w:r>
        <w:rPr>
          <w:rFonts w:ascii="楷体" w:eastAsia="楷体" w:hAnsi="Times New Roman" w:cs="楷体" w:hint="eastAsia"/>
          <w:b/>
          <w:sz w:val="30"/>
          <w:szCs w:val="30"/>
          <w:lang w:val="zh-CN"/>
        </w:rPr>
        <w:t>支出结构</w:t>
      </w:r>
      <w:r>
        <w:rPr>
          <w:rFonts w:ascii="楷体" w:eastAsia="楷体" w:hAnsi="Times New Roman" w:cs="楷体" w:hint="eastAsia"/>
          <w:b/>
          <w:sz w:val="30"/>
          <w:szCs w:val="30"/>
        </w:rPr>
        <w:t>情况</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年度一般公共预算财政拨款支出</w:t>
      </w:r>
      <w:r>
        <w:rPr>
          <w:rFonts w:ascii="仿宋_GB2312" w:eastAsia="仿宋_GB2312" w:hAnsi="仿宋_GB2312" w:cs="仿宋_GB2312"/>
          <w:sz w:val="30"/>
          <w:szCs w:val="30"/>
          <w:lang w:val="zh-CN"/>
        </w:rPr>
        <w:t>9,513,300.00</w:t>
      </w:r>
      <w:r>
        <w:rPr>
          <w:rFonts w:ascii="仿宋_GB2312" w:eastAsia="仿宋_GB2312" w:hAnsi="仿宋_GB2312" w:cs="仿宋_GB2312" w:hint="eastAsia"/>
          <w:sz w:val="30"/>
          <w:szCs w:val="30"/>
          <w:lang w:val="zh-CN"/>
        </w:rPr>
        <w:t>元，主要用于以下方面：人员（类）支出</w:t>
      </w:r>
      <w:r>
        <w:rPr>
          <w:rFonts w:ascii="仿宋_GB2312" w:eastAsia="仿宋_GB2312" w:hAnsi="仿宋_GB2312" w:cs="仿宋_GB2312"/>
          <w:sz w:val="30"/>
          <w:szCs w:val="30"/>
          <w:lang w:val="zh-CN"/>
        </w:rPr>
        <w:t>9,489,300.00</w:t>
      </w:r>
      <w:r>
        <w:rPr>
          <w:rFonts w:ascii="仿宋_GB2312" w:eastAsia="仿宋_GB2312" w:hAnsi="仿宋_GB2312" w:cs="仿宋_GB2312" w:hint="eastAsia"/>
          <w:sz w:val="30"/>
          <w:szCs w:val="30"/>
          <w:lang w:val="zh-CN"/>
        </w:rPr>
        <w:t>元，占</w:t>
      </w:r>
      <w:r>
        <w:rPr>
          <w:rFonts w:ascii="仿宋_GB2312" w:eastAsia="仿宋_GB2312" w:hAnsi="仿宋_GB2312" w:cs="仿宋_GB2312"/>
          <w:sz w:val="30"/>
          <w:szCs w:val="30"/>
          <w:lang w:val="zh-CN"/>
        </w:rPr>
        <w:t>99.75%</w:t>
      </w:r>
      <w:r>
        <w:rPr>
          <w:rFonts w:ascii="仿宋_GB2312" w:eastAsia="仿宋_GB2312" w:hAnsi="仿宋_GB2312" w:cs="仿宋_GB2312" w:hint="eastAsia"/>
          <w:sz w:val="30"/>
          <w:szCs w:val="30"/>
          <w:lang w:val="zh-CN"/>
        </w:rPr>
        <w:t>，公用（类）支出</w:t>
      </w:r>
      <w:r>
        <w:rPr>
          <w:rFonts w:ascii="仿宋_GB2312" w:eastAsia="仿宋_GB2312" w:hAnsi="仿宋_GB2312" w:cs="仿宋_GB2312"/>
          <w:sz w:val="30"/>
          <w:szCs w:val="30"/>
          <w:lang w:val="zh-CN"/>
        </w:rPr>
        <w:t>24,000.00</w:t>
      </w:r>
      <w:r>
        <w:rPr>
          <w:rFonts w:ascii="仿宋_GB2312" w:eastAsia="仿宋_GB2312" w:hAnsi="仿宋_GB2312" w:cs="仿宋_GB2312" w:hint="eastAsia"/>
          <w:sz w:val="30"/>
          <w:szCs w:val="30"/>
          <w:lang w:val="zh-CN"/>
        </w:rPr>
        <w:t>元，占</w:t>
      </w:r>
      <w:r>
        <w:rPr>
          <w:rFonts w:ascii="仿宋_GB2312" w:eastAsia="仿宋_GB2312" w:hAnsi="仿宋_GB2312" w:cs="仿宋_GB2312"/>
          <w:sz w:val="30"/>
          <w:szCs w:val="30"/>
          <w:lang w:val="zh-CN"/>
        </w:rPr>
        <w:t>0.25%</w:t>
      </w:r>
      <w:r>
        <w:rPr>
          <w:rFonts w:ascii="仿宋_GB2312" w:eastAsia="仿宋_GB2312" w:hAnsi="仿宋_GB2312" w:cs="仿宋_GB2312" w:hint="eastAsia"/>
          <w:sz w:val="30"/>
          <w:szCs w:val="30"/>
          <w:lang w:val="zh-CN"/>
        </w:rPr>
        <w:t>。</w:t>
      </w:r>
    </w:p>
    <w:p w:rsidR="000471AC" w:rsidRDefault="000471AC">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（三）具体情况</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年度一般公共预算财政拨款支出年初预算为</w:t>
      </w:r>
      <w:r w:rsidRPr="00267029">
        <w:rPr>
          <w:rFonts w:ascii="仿宋_GB2312" w:eastAsia="仿宋_GB2312" w:hAnsi="仿宋_GB2312" w:cs="仿宋_GB2312"/>
          <w:sz w:val="30"/>
          <w:szCs w:val="30"/>
          <w:lang w:val="zh-CN"/>
        </w:rPr>
        <w:t>3,024,000.00</w:t>
      </w:r>
      <w:r>
        <w:rPr>
          <w:rFonts w:ascii="仿宋_GB2312" w:eastAsia="仿宋_GB2312" w:hAnsi="仿宋_GB2312" w:cs="仿宋_GB2312" w:hint="eastAsia"/>
          <w:sz w:val="30"/>
          <w:szCs w:val="30"/>
          <w:lang w:val="zh-CN"/>
        </w:rPr>
        <w:t>元，支出决算为</w:t>
      </w:r>
      <w:r>
        <w:rPr>
          <w:rFonts w:ascii="仿宋_GB2312" w:eastAsia="仿宋_GB2312" w:hAnsi="仿宋_GB2312" w:cs="仿宋_GB2312"/>
          <w:sz w:val="30"/>
          <w:szCs w:val="30"/>
          <w:lang w:val="zh-CN"/>
        </w:rPr>
        <w:t>9,513,300.00</w:t>
      </w:r>
      <w:r>
        <w:rPr>
          <w:rFonts w:ascii="仿宋_GB2312" w:eastAsia="仿宋_GB2312" w:hAnsi="仿宋_GB2312" w:cs="仿宋_GB2312" w:hint="eastAsia"/>
          <w:sz w:val="30"/>
          <w:szCs w:val="30"/>
          <w:lang w:val="zh-CN"/>
        </w:rPr>
        <w:t>元，完成年初预算的</w:t>
      </w:r>
      <w:r>
        <w:rPr>
          <w:rFonts w:ascii="仿宋_GB2312" w:eastAsia="仿宋_GB2312" w:hAnsi="仿宋_GB2312" w:cs="仿宋_GB2312"/>
          <w:sz w:val="30"/>
          <w:szCs w:val="30"/>
          <w:lang w:val="zh-CN"/>
        </w:rPr>
        <w:t>314.59%</w:t>
      </w:r>
      <w:r>
        <w:rPr>
          <w:rFonts w:ascii="仿宋_GB2312" w:eastAsia="仿宋_GB2312" w:hAnsi="仿宋_GB2312" w:cs="仿宋_GB2312" w:hint="eastAsia"/>
          <w:sz w:val="30"/>
          <w:szCs w:val="30"/>
          <w:lang w:val="zh-CN"/>
        </w:rPr>
        <w:t>。其中：</w:t>
      </w:r>
    </w:p>
    <w:p w:rsidR="000471AC" w:rsidRPr="00267029" w:rsidRDefault="000471AC">
      <w:pPr>
        <w:spacing w:line="600" w:lineRule="exact"/>
        <w:ind w:firstLine="600"/>
        <w:rPr>
          <w:rFonts w:ascii="仿宋_GB2312" w:eastAsia="仿宋_GB2312" w:hAnsi="仿宋_GB2312" w:cs="仿宋_GB2312"/>
          <w:sz w:val="30"/>
          <w:szCs w:val="30"/>
          <w:lang w:val="zh-CN"/>
        </w:rPr>
      </w:pPr>
      <w:r w:rsidRPr="00267029">
        <w:rPr>
          <w:rFonts w:ascii="仿宋_GB2312" w:eastAsia="仿宋_GB2312" w:hAnsi="仿宋_GB2312" w:cs="仿宋_GB2312"/>
          <w:sz w:val="30"/>
          <w:szCs w:val="30"/>
          <w:lang w:val="zh-CN"/>
        </w:rPr>
        <w:t xml:space="preserve">1. </w:t>
      </w:r>
      <w:r w:rsidRPr="00267029">
        <w:rPr>
          <w:rFonts w:ascii="仿宋_GB2312" w:eastAsia="仿宋_GB2312" w:hAnsi="仿宋_GB2312" w:cs="仿宋_GB2312" w:hint="eastAsia"/>
          <w:sz w:val="30"/>
          <w:szCs w:val="30"/>
          <w:lang w:val="zh-CN"/>
        </w:rPr>
        <w:t>社会保障和就业支出（类）行政事业单位养老支出（款）行政单位离退休（项）年初预算为</w:t>
      </w:r>
      <w:r w:rsidR="0008101A" w:rsidRPr="0008101A">
        <w:rPr>
          <w:rFonts w:ascii="仿宋_GB2312" w:eastAsia="仿宋_GB2312" w:hAnsi="仿宋_GB2312" w:cs="仿宋_GB2312"/>
          <w:sz w:val="30"/>
          <w:szCs w:val="30"/>
          <w:lang w:val="zh-CN"/>
        </w:rPr>
        <w:t>2,904,000.00</w:t>
      </w:r>
      <w:r w:rsidRPr="00267029">
        <w:rPr>
          <w:rFonts w:ascii="仿宋_GB2312" w:eastAsia="仿宋_GB2312" w:hAnsi="仿宋_GB2312" w:cs="仿宋_GB2312" w:hint="eastAsia"/>
          <w:sz w:val="30"/>
          <w:szCs w:val="30"/>
          <w:lang w:val="zh-CN"/>
        </w:rPr>
        <w:t>元，支出决算为</w:t>
      </w:r>
      <w:r w:rsidRPr="00267029">
        <w:rPr>
          <w:rFonts w:ascii="仿宋_GB2312" w:eastAsia="仿宋_GB2312" w:hAnsi="仿宋_GB2312" w:cs="仿宋_GB2312"/>
          <w:sz w:val="30"/>
          <w:szCs w:val="30"/>
          <w:lang w:val="zh-CN"/>
        </w:rPr>
        <w:t>3,280,400.00</w:t>
      </w:r>
      <w:r w:rsidRPr="00267029">
        <w:rPr>
          <w:rFonts w:ascii="仿宋_GB2312" w:eastAsia="仿宋_GB2312" w:hAnsi="仿宋_GB2312" w:cs="仿宋_GB2312" w:hint="eastAsia"/>
          <w:sz w:val="30"/>
          <w:szCs w:val="30"/>
          <w:lang w:val="zh-CN"/>
        </w:rPr>
        <w:t>元，完成年初预算的</w:t>
      </w:r>
      <w:r w:rsidR="0008101A">
        <w:rPr>
          <w:rFonts w:ascii="仿宋_GB2312" w:eastAsia="仿宋_GB2312" w:hAnsi="仿宋_GB2312" w:cs="仿宋_GB2312"/>
          <w:sz w:val="30"/>
          <w:szCs w:val="30"/>
          <w:lang w:val="zh-CN"/>
        </w:rPr>
        <w:t>112.96</w:t>
      </w:r>
      <w:r w:rsidRPr="00267029">
        <w:rPr>
          <w:rFonts w:ascii="仿宋_GB2312" w:eastAsia="仿宋_GB2312" w:hAnsi="仿宋_GB2312" w:cs="仿宋_GB2312"/>
          <w:sz w:val="30"/>
          <w:szCs w:val="30"/>
          <w:lang w:val="zh-CN"/>
        </w:rPr>
        <w:t xml:space="preserve"> %</w:t>
      </w:r>
      <w:r w:rsidRPr="00267029">
        <w:rPr>
          <w:rFonts w:ascii="仿宋_GB2312" w:eastAsia="仿宋_GB2312" w:hAnsi="仿宋_GB2312" w:cs="仿宋_GB2312" w:hint="eastAsia"/>
          <w:sz w:val="30"/>
          <w:szCs w:val="30"/>
          <w:lang w:val="zh-CN"/>
        </w:rPr>
        <w:t>，决算数</w:t>
      </w:r>
      <w:r w:rsidR="0008101A">
        <w:rPr>
          <w:rFonts w:ascii="仿宋_GB2312" w:eastAsia="仿宋_GB2312" w:hAnsi="仿宋_GB2312" w:cs="仿宋_GB2312" w:hint="eastAsia"/>
          <w:sz w:val="30"/>
          <w:szCs w:val="30"/>
          <w:lang w:val="zh-CN"/>
        </w:rPr>
        <w:t>大于</w:t>
      </w:r>
      <w:r w:rsidRPr="00267029">
        <w:rPr>
          <w:rFonts w:ascii="仿宋_GB2312" w:eastAsia="仿宋_GB2312" w:hAnsi="仿宋_GB2312" w:cs="仿宋_GB2312" w:hint="eastAsia"/>
          <w:sz w:val="30"/>
          <w:szCs w:val="30"/>
          <w:lang w:val="zh-CN"/>
        </w:rPr>
        <w:t>年初预算数的主要原因是</w:t>
      </w:r>
      <w:r w:rsidR="0008101A" w:rsidRPr="00267029">
        <w:rPr>
          <w:rFonts w:ascii="仿宋_GB2312" w:eastAsia="仿宋_GB2312" w:hAnsi="仿宋_GB2312" w:cs="仿宋_GB2312" w:hint="eastAsia"/>
          <w:sz w:val="30"/>
          <w:szCs w:val="30"/>
          <w:lang w:val="zh-CN"/>
        </w:rPr>
        <w:t>离退人员增资</w:t>
      </w:r>
      <w:r w:rsidRPr="00267029">
        <w:rPr>
          <w:rFonts w:ascii="仿宋_GB2312" w:eastAsia="仿宋_GB2312" w:hAnsi="仿宋_GB2312" w:cs="仿宋_GB2312" w:hint="eastAsia"/>
          <w:sz w:val="30"/>
          <w:szCs w:val="30"/>
          <w:lang w:val="zh-CN"/>
        </w:rPr>
        <w:t>。</w:t>
      </w:r>
    </w:p>
    <w:p w:rsidR="000471AC" w:rsidRPr="00267029" w:rsidRDefault="000471AC">
      <w:pPr>
        <w:spacing w:line="600" w:lineRule="exact"/>
        <w:ind w:firstLine="600"/>
        <w:rPr>
          <w:rFonts w:ascii="仿宋_GB2312" w:eastAsia="仿宋_GB2312" w:hAnsi="仿宋_GB2312" w:cs="仿宋_GB2312"/>
          <w:sz w:val="30"/>
          <w:szCs w:val="30"/>
          <w:lang w:val="zh-CN"/>
        </w:rPr>
      </w:pPr>
      <w:r w:rsidRPr="00267029">
        <w:rPr>
          <w:rFonts w:ascii="仿宋_GB2312" w:eastAsia="仿宋_GB2312" w:hAnsi="仿宋_GB2312" w:cs="仿宋_GB2312"/>
          <w:sz w:val="30"/>
          <w:szCs w:val="30"/>
          <w:lang w:val="zh-CN"/>
        </w:rPr>
        <w:t xml:space="preserve">2. </w:t>
      </w:r>
      <w:r w:rsidRPr="00267029">
        <w:rPr>
          <w:rFonts w:ascii="仿宋_GB2312" w:eastAsia="仿宋_GB2312" w:hAnsi="仿宋_GB2312" w:cs="仿宋_GB2312" w:hint="eastAsia"/>
          <w:sz w:val="30"/>
          <w:szCs w:val="30"/>
          <w:lang w:val="zh-CN"/>
        </w:rPr>
        <w:t>卫生健康支出（类）行政事业单位医疗（款）行政单位医疗（项）年初预算为</w:t>
      </w:r>
      <w:r w:rsidR="0008101A" w:rsidRPr="0008101A">
        <w:rPr>
          <w:rFonts w:ascii="仿宋_GB2312" w:eastAsia="仿宋_GB2312" w:hAnsi="仿宋_GB2312" w:cs="仿宋_GB2312"/>
          <w:sz w:val="30"/>
          <w:szCs w:val="30"/>
          <w:lang w:val="zh-CN"/>
        </w:rPr>
        <w:t>120,000.00</w:t>
      </w:r>
      <w:r w:rsidRPr="00267029">
        <w:rPr>
          <w:rFonts w:ascii="仿宋_GB2312" w:eastAsia="仿宋_GB2312" w:hAnsi="仿宋_GB2312" w:cs="仿宋_GB2312"/>
          <w:sz w:val="30"/>
          <w:szCs w:val="30"/>
          <w:lang w:val="zh-CN"/>
        </w:rPr>
        <w:t xml:space="preserve"> </w:t>
      </w:r>
      <w:r w:rsidRPr="00267029">
        <w:rPr>
          <w:rFonts w:ascii="仿宋_GB2312" w:eastAsia="仿宋_GB2312" w:hAnsi="仿宋_GB2312" w:cs="仿宋_GB2312" w:hint="eastAsia"/>
          <w:sz w:val="30"/>
          <w:szCs w:val="30"/>
          <w:lang w:val="zh-CN"/>
        </w:rPr>
        <w:t>元，支出决算为</w:t>
      </w:r>
      <w:r w:rsidR="0008101A" w:rsidRPr="0008101A">
        <w:rPr>
          <w:rFonts w:ascii="仿宋_GB2312" w:eastAsia="仿宋_GB2312" w:hAnsi="仿宋_GB2312" w:cs="仿宋_GB2312"/>
          <w:sz w:val="30"/>
          <w:szCs w:val="30"/>
          <w:lang w:val="zh-CN"/>
        </w:rPr>
        <w:t>648,500.00</w:t>
      </w:r>
      <w:r w:rsidRPr="00267029">
        <w:rPr>
          <w:rFonts w:ascii="仿宋_GB2312" w:eastAsia="仿宋_GB2312" w:hAnsi="仿宋_GB2312" w:cs="仿宋_GB2312" w:hint="eastAsia"/>
          <w:sz w:val="30"/>
          <w:szCs w:val="30"/>
          <w:lang w:val="zh-CN"/>
        </w:rPr>
        <w:t>元，完成年初预算的</w:t>
      </w:r>
      <w:r w:rsidR="004B7226">
        <w:rPr>
          <w:rFonts w:ascii="仿宋_GB2312" w:eastAsia="仿宋_GB2312" w:hAnsi="仿宋_GB2312" w:cs="仿宋_GB2312"/>
          <w:sz w:val="30"/>
          <w:szCs w:val="30"/>
          <w:lang w:val="zh-CN"/>
        </w:rPr>
        <w:t>540.42</w:t>
      </w:r>
      <w:r w:rsidRPr="00267029">
        <w:rPr>
          <w:rFonts w:ascii="仿宋_GB2312" w:eastAsia="仿宋_GB2312" w:hAnsi="仿宋_GB2312" w:cs="仿宋_GB2312"/>
          <w:sz w:val="30"/>
          <w:szCs w:val="30"/>
          <w:lang w:val="zh-CN"/>
        </w:rPr>
        <w:t>%</w:t>
      </w:r>
      <w:r w:rsidRPr="00267029">
        <w:rPr>
          <w:rFonts w:ascii="仿宋_GB2312" w:eastAsia="仿宋_GB2312" w:hAnsi="仿宋_GB2312" w:cs="仿宋_GB2312" w:hint="eastAsia"/>
          <w:sz w:val="30"/>
          <w:szCs w:val="30"/>
          <w:lang w:val="zh-CN"/>
        </w:rPr>
        <w:t>，决算数</w:t>
      </w:r>
      <w:r w:rsidR="0008101A">
        <w:rPr>
          <w:rFonts w:ascii="仿宋_GB2312" w:eastAsia="仿宋_GB2312" w:hAnsi="仿宋_GB2312" w:cs="仿宋_GB2312" w:hint="eastAsia"/>
          <w:sz w:val="30"/>
          <w:szCs w:val="30"/>
          <w:lang w:val="zh-CN"/>
        </w:rPr>
        <w:t>大于</w:t>
      </w:r>
      <w:r w:rsidRPr="00267029">
        <w:rPr>
          <w:rFonts w:ascii="仿宋_GB2312" w:eastAsia="仿宋_GB2312" w:hAnsi="仿宋_GB2312" w:cs="仿宋_GB2312" w:hint="eastAsia"/>
          <w:sz w:val="30"/>
          <w:szCs w:val="30"/>
          <w:lang w:val="zh-CN"/>
        </w:rPr>
        <w:t>年初预算数的主要原因是</w:t>
      </w:r>
      <w:r w:rsidR="004B7226">
        <w:rPr>
          <w:rFonts w:ascii="仿宋_GB2312" w:eastAsia="仿宋_GB2312" w:hAnsi="仿宋_GB2312" w:cs="仿宋_GB2312" w:hint="eastAsia"/>
          <w:sz w:val="30"/>
          <w:szCs w:val="30"/>
          <w:lang w:val="zh-CN"/>
        </w:rPr>
        <w:t>财政增加了离退人员药费超支补贴</w:t>
      </w:r>
      <w:r w:rsidRPr="00267029">
        <w:rPr>
          <w:rFonts w:ascii="仿宋_GB2312" w:eastAsia="仿宋_GB2312" w:hAnsi="仿宋_GB2312" w:cs="仿宋_GB2312" w:hint="eastAsia"/>
          <w:sz w:val="30"/>
          <w:szCs w:val="30"/>
          <w:lang w:val="zh-CN"/>
        </w:rPr>
        <w:t>。</w:t>
      </w:r>
    </w:p>
    <w:p w:rsidR="000471AC" w:rsidRPr="00267029" w:rsidRDefault="000471AC">
      <w:pPr>
        <w:spacing w:line="600" w:lineRule="exact"/>
        <w:ind w:firstLine="600"/>
        <w:rPr>
          <w:rFonts w:ascii="仿宋_GB2312" w:eastAsia="仿宋_GB2312" w:hAnsi="仿宋_GB2312" w:cs="仿宋_GB2312"/>
          <w:sz w:val="30"/>
          <w:szCs w:val="30"/>
          <w:lang w:val="zh-CN"/>
        </w:rPr>
      </w:pPr>
      <w:r w:rsidRPr="00267029">
        <w:rPr>
          <w:rFonts w:ascii="仿宋_GB2312" w:eastAsia="仿宋_GB2312" w:hAnsi="仿宋_GB2312" w:cs="仿宋_GB2312"/>
          <w:sz w:val="30"/>
          <w:szCs w:val="30"/>
          <w:lang w:val="zh-CN"/>
        </w:rPr>
        <w:lastRenderedPageBreak/>
        <w:t xml:space="preserve">3. </w:t>
      </w:r>
      <w:r w:rsidRPr="00267029">
        <w:rPr>
          <w:rFonts w:ascii="仿宋_GB2312" w:eastAsia="仿宋_GB2312" w:hAnsi="仿宋_GB2312" w:cs="仿宋_GB2312" w:hint="eastAsia"/>
          <w:sz w:val="30"/>
          <w:szCs w:val="30"/>
          <w:lang w:val="zh-CN"/>
        </w:rPr>
        <w:t>卫生健康支出（类）行政事业单位医疗（款）</w:t>
      </w:r>
      <w:r w:rsidRPr="00267029">
        <w:rPr>
          <w:rFonts w:ascii="仿宋_GB2312" w:eastAsia="仿宋_GB2312" w:hAnsi="仿宋_GB2312" w:cs="仿宋_GB2312"/>
          <w:sz w:val="30"/>
          <w:szCs w:val="30"/>
          <w:lang w:val="zh-CN"/>
        </w:rPr>
        <w:t xml:space="preserve">  </w:t>
      </w:r>
      <w:r w:rsidRPr="00267029">
        <w:rPr>
          <w:rFonts w:ascii="仿宋_GB2312" w:eastAsia="仿宋_GB2312" w:hAnsi="仿宋_GB2312" w:cs="仿宋_GB2312" w:hint="eastAsia"/>
          <w:sz w:val="30"/>
          <w:szCs w:val="30"/>
          <w:lang w:val="zh-CN"/>
        </w:rPr>
        <w:t>事业单位医疗（项）年初预算为</w:t>
      </w:r>
      <w:r w:rsidR="004B7226">
        <w:rPr>
          <w:rFonts w:ascii="仿宋_GB2312" w:eastAsia="仿宋_GB2312" w:hAnsi="仿宋_GB2312" w:cs="仿宋_GB2312"/>
          <w:sz w:val="30"/>
          <w:szCs w:val="30"/>
          <w:lang w:val="zh-CN"/>
        </w:rPr>
        <w:t>0</w:t>
      </w:r>
      <w:r w:rsidRPr="00267029">
        <w:rPr>
          <w:rFonts w:ascii="仿宋_GB2312" w:eastAsia="仿宋_GB2312" w:hAnsi="仿宋_GB2312" w:cs="仿宋_GB2312" w:hint="eastAsia"/>
          <w:sz w:val="30"/>
          <w:szCs w:val="30"/>
          <w:lang w:val="zh-CN"/>
        </w:rPr>
        <w:t>元，支出决算为</w:t>
      </w:r>
      <w:r w:rsidRPr="00267029">
        <w:rPr>
          <w:rFonts w:ascii="仿宋_GB2312" w:eastAsia="仿宋_GB2312" w:hAnsi="仿宋_GB2312" w:cs="仿宋_GB2312"/>
          <w:sz w:val="30"/>
          <w:szCs w:val="30"/>
          <w:lang w:val="zh-CN"/>
        </w:rPr>
        <w:t>5,584,400.00</w:t>
      </w:r>
      <w:r w:rsidRPr="00267029">
        <w:rPr>
          <w:rFonts w:ascii="仿宋_GB2312" w:eastAsia="仿宋_GB2312" w:hAnsi="仿宋_GB2312" w:cs="仿宋_GB2312" w:hint="eastAsia"/>
          <w:sz w:val="30"/>
          <w:szCs w:val="30"/>
          <w:lang w:val="zh-CN"/>
        </w:rPr>
        <w:t>元，决算数</w:t>
      </w:r>
      <w:r w:rsidR="004B7226">
        <w:rPr>
          <w:rFonts w:ascii="仿宋_GB2312" w:eastAsia="仿宋_GB2312" w:hAnsi="仿宋_GB2312" w:cs="仿宋_GB2312" w:hint="eastAsia"/>
          <w:sz w:val="30"/>
          <w:szCs w:val="30"/>
          <w:lang w:val="zh-CN"/>
        </w:rPr>
        <w:t>大于</w:t>
      </w:r>
      <w:r w:rsidRPr="00267029">
        <w:rPr>
          <w:rFonts w:ascii="仿宋_GB2312" w:eastAsia="仿宋_GB2312" w:hAnsi="仿宋_GB2312" w:cs="仿宋_GB2312" w:hint="eastAsia"/>
          <w:sz w:val="30"/>
          <w:szCs w:val="30"/>
          <w:lang w:val="zh-CN"/>
        </w:rPr>
        <w:t>年初预算数的主要原因是</w:t>
      </w:r>
      <w:r w:rsidR="004B7226">
        <w:rPr>
          <w:rFonts w:ascii="仿宋_GB2312" w:eastAsia="仿宋_GB2312" w:hAnsi="仿宋_GB2312" w:cs="仿宋_GB2312" w:hint="eastAsia"/>
          <w:sz w:val="30"/>
          <w:szCs w:val="30"/>
          <w:lang w:val="zh-CN"/>
        </w:rPr>
        <w:t>财政增加了离退人员药费超支补贴</w:t>
      </w:r>
      <w:r w:rsidRPr="00267029">
        <w:rPr>
          <w:rFonts w:ascii="仿宋_GB2312" w:eastAsia="仿宋_GB2312" w:hAnsi="仿宋_GB2312" w:cs="仿宋_GB2312"/>
          <w:sz w:val="30"/>
          <w:szCs w:val="30"/>
          <w:lang w:val="zh-CN"/>
        </w:rPr>
        <w:t xml:space="preserve"> </w:t>
      </w:r>
      <w:r w:rsidRPr="00267029">
        <w:rPr>
          <w:rFonts w:ascii="仿宋_GB2312" w:eastAsia="仿宋_GB2312" w:hAnsi="仿宋_GB2312" w:cs="仿宋_GB2312" w:hint="eastAsia"/>
          <w:sz w:val="30"/>
          <w:szCs w:val="30"/>
          <w:lang w:val="zh-CN"/>
        </w:rPr>
        <w:t>。</w:t>
      </w:r>
    </w:p>
    <w:p w:rsidR="000471AC" w:rsidRDefault="000471AC">
      <w:pPr>
        <w:pStyle w:val="2"/>
        <w:keepNext/>
        <w:keepLines/>
        <w:spacing w:line="600" w:lineRule="exact"/>
        <w:ind w:firstLine="602"/>
        <w:rPr>
          <w:rFonts w:hAnsi="Times New Roman" w:cs="黑体"/>
          <w:b/>
          <w:sz w:val="30"/>
          <w:szCs w:val="30"/>
        </w:rPr>
      </w:pPr>
      <w:r>
        <w:rPr>
          <w:rFonts w:hAnsi="Times New Roman" w:cs="黑体" w:hint="eastAsia"/>
          <w:b/>
          <w:sz w:val="30"/>
          <w:szCs w:val="30"/>
        </w:rPr>
        <w:t>六、一般公共预算财政拨款基本支出决算情况说明</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年度部门决算一般公共预算财政拨款基本支出合计</w:t>
      </w:r>
      <w:r>
        <w:rPr>
          <w:rFonts w:ascii="仿宋_GB2312" w:eastAsia="仿宋_GB2312" w:hAnsi="仿宋_GB2312" w:cs="仿宋_GB2312"/>
          <w:sz w:val="30"/>
          <w:szCs w:val="30"/>
          <w:lang w:val="zh-CN"/>
        </w:rPr>
        <w:t>9,513,300.00</w:t>
      </w:r>
      <w:r>
        <w:rPr>
          <w:rFonts w:ascii="仿宋_GB2312" w:eastAsia="仿宋_GB2312" w:hAnsi="仿宋_GB2312" w:cs="仿宋_GB2312" w:hint="eastAsia"/>
          <w:sz w:val="30"/>
          <w:szCs w:val="30"/>
          <w:lang w:val="zh-CN"/>
        </w:rPr>
        <w:t>元，与</w:t>
      </w:r>
      <w:r>
        <w:rPr>
          <w:rFonts w:ascii="仿宋_GB2312" w:eastAsia="仿宋_GB2312" w:hAnsi="仿宋_GB2312" w:cs="仿宋_GB2312"/>
          <w:sz w:val="30"/>
          <w:szCs w:val="30"/>
          <w:lang w:val="zh-CN"/>
        </w:rPr>
        <w:t>2021</w:t>
      </w:r>
      <w:r>
        <w:rPr>
          <w:rFonts w:ascii="仿宋_GB2312" w:eastAsia="仿宋_GB2312" w:hAnsi="仿宋_GB2312" w:cs="仿宋_GB2312" w:hint="eastAsia"/>
          <w:sz w:val="30"/>
          <w:szCs w:val="30"/>
          <w:lang w:val="zh-CN"/>
        </w:rPr>
        <w:t>年度相比增加</w:t>
      </w:r>
      <w:r>
        <w:rPr>
          <w:rFonts w:ascii="仿宋_GB2312" w:eastAsia="仿宋_GB2312" w:hAnsi="仿宋_GB2312" w:cs="仿宋_GB2312"/>
          <w:sz w:val="30"/>
          <w:szCs w:val="30"/>
          <w:lang w:val="zh-CN"/>
        </w:rPr>
        <w:t>12,102.45</w:t>
      </w:r>
      <w:r>
        <w:rPr>
          <w:rFonts w:ascii="仿宋_GB2312" w:eastAsia="仿宋_GB2312" w:hAnsi="仿宋_GB2312" w:cs="仿宋_GB2312" w:hint="eastAsia"/>
          <w:sz w:val="30"/>
          <w:szCs w:val="30"/>
          <w:lang w:val="zh-CN"/>
        </w:rPr>
        <w:t>元，</w:t>
      </w:r>
      <w:r w:rsidRPr="00267029">
        <w:rPr>
          <w:rFonts w:ascii="仿宋_GB2312" w:eastAsia="仿宋_GB2312" w:hAnsi="仿宋_GB2312" w:cs="仿宋_GB2312" w:hint="eastAsia"/>
          <w:sz w:val="30"/>
          <w:szCs w:val="30"/>
          <w:lang w:val="zh-CN"/>
        </w:rPr>
        <w:t>主要原因是：</w:t>
      </w:r>
      <w:r w:rsidR="00267029" w:rsidRPr="00267029">
        <w:rPr>
          <w:rFonts w:ascii="仿宋_GB2312" w:eastAsia="仿宋_GB2312" w:hAnsi="仿宋_GB2312" w:cs="仿宋_GB2312" w:hint="eastAsia"/>
          <w:sz w:val="30"/>
          <w:szCs w:val="30"/>
          <w:lang w:val="zh-CN"/>
        </w:rPr>
        <w:t>离退人员增资</w:t>
      </w:r>
      <w:r w:rsidRPr="00267029">
        <w:rPr>
          <w:rFonts w:ascii="仿宋_GB2312" w:eastAsia="仿宋_GB2312" w:hAnsi="仿宋_GB2312" w:cs="仿宋_GB2312" w:hint="eastAsia"/>
          <w:sz w:val="30"/>
          <w:szCs w:val="30"/>
          <w:lang w:val="zh-CN"/>
        </w:rPr>
        <w:t>。</w:t>
      </w:r>
      <w:r>
        <w:rPr>
          <w:rFonts w:ascii="仿宋_GB2312" w:eastAsia="仿宋_GB2312" w:hAnsi="仿宋_GB2312" w:cs="仿宋_GB2312" w:hint="eastAsia"/>
          <w:sz w:val="30"/>
          <w:szCs w:val="30"/>
          <w:lang w:val="zh-CN"/>
        </w:rPr>
        <w:t>其中：人员经费</w:t>
      </w:r>
      <w:r>
        <w:rPr>
          <w:rFonts w:ascii="仿宋_GB2312" w:eastAsia="仿宋_GB2312" w:hAnsi="仿宋_GB2312" w:cs="仿宋_GB2312"/>
          <w:sz w:val="30"/>
          <w:szCs w:val="30"/>
          <w:lang w:val="zh-CN"/>
        </w:rPr>
        <w:t>9,489,300.00</w:t>
      </w:r>
      <w:r>
        <w:rPr>
          <w:rFonts w:ascii="仿宋_GB2312" w:eastAsia="仿宋_GB2312" w:hAnsi="仿宋_GB2312" w:cs="仿宋_GB2312" w:hint="eastAsia"/>
          <w:sz w:val="30"/>
          <w:szCs w:val="30"/>
          <w:lang w:val="zh-CN"/>
        </w:rPr>
        <w:t>元，主要包括离休费、退休费、抚恤金、医疗费补助；公用经费</w:t>
      </w:r>
      <w:r>
        <w:rPr>
          <w:rFonts w:ascii="仿宋_GB2312" w:eastAsia="仿宋_GB2312" w:hAnsi="仿宋_GB2312" w:cs="仿宋_GB2312"/>
          <w:sz w:val="30"/>
          <w:szCs w:val="30"/>
          <w:lang w:val="zh-CN"/>
        </w:rPr>
        <w:t>24,000.00</w:t>
      </w:r>
      <w:r>
        <w:rPr>
          <w:rFonts w:ascii="仿宋_GB2312" w:eastAsia="仿宋_GB2312" w:hAnsi="仿宋_GB2312" w:cs="仿宋_GB2312" w:hint="eastAsia"/>
          <w:sz w:val="30"/>
          <w:szCs w:val="30"/>
          <w:lang w:val="zh-CN"/>
        </w:rPr>
        <w:t>元，主要包括其他商品和服务支出。</w:t>
      </w:r>
    </w:p>
    <w:p w:rsidR="000471AC" w:rsidRDefault="000471AC">
      <w:pPr>
        <w:pStyle w:val="2"/>
        <w:keepNext/>
        <w:keepLines/>
        <w:spacing w:line="600" w:lineRule="exact"/>
        <w:ind w:firstLine="602"/>
        <w:rPr>
          <w:rFonts w:hAnsi="Times New Roman" w:cs="黑体"/>
          <w:b/>
          <w:sz w:val="30"/>
          <w:szCs w:val="30"/>
        </w:rPr>
      </w:pPr>
      <w:r>
        <w:rPr>
          <w:rFonts w:hAnsi="Times New Roman" w:cs="黑体" w:hint="eastAsia"/>
          <w:b/>
          <w:sz w:val="30"/>
          <w:szCs w:val="30"/>
        </w:rPr>
        <w:t>七、政府性基金预算财政拨款收支决算情况</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年度无政府性基金预算财政拨款收入、支出和结转结余。</w:t>
      </w:r>
    </w:p>
    <w:p w:rsidR="000471AC" w:rsidRDefault="000471AC">
      <w:pPr>
        <w:spacing w:line="600" w:lineRule="exact"/>
        <w:ind w:firstLine="600"/>
        <w:rPr>
          <w:rFonts w:hAnsi="Times New Roman" w:cs="黑体"/>
          <w:b/>
          <w:sz w:val="30"/>
          <w:szCs w:val="30"/>
        </w:rPr>
      </w:pPr>
      <w:r>
        <w:rPr>
          <w:rFonts w:hAnsi="Times New Roman" w:cs="黑体" w:hint="eastAsia"/>
          <w:b/>
          <w:sz w:val="30"/>
          <w:szCs w:val="30"/>
        </w:rPr>
        <w:t>八、国有资本经营预算财政拨款收支决算情况说明</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年度无国有资本经营预算财政拨款收入、支出和结转结余。</w:t>
      </w:r>
    </w:p>
    <w:p w:rsidR="000471AC" w:rsidRDefault="000471AC">
      <w:pPr>
        <w:pStyle w:val="2"/>
        <w:keepNext/>
        <w:keepLines/>
        <w:spacing w:line="600" w:lineRule="exact"/>
        <w:ind w:firstLine="602"/>
        <w:rPr>
          <w:rFonts w:hAnsi="Times New Roman" w:cs="黑体"/>
          <w:b/>
          <w:sz w:val="30"/>
          <w:szCs w:val="30"/>
        </w:rPr>
      </w:pPr>
      <w:r>
        <w:rPr>
          <w:rFonts w:hAnsi="Times New Roman" w:cs="黑体" w:hint="eastAsia"/>
          <w:b/>
          <w:sz w:val="30"/>
          <w:szCs w:val="30"/>
        </w:rPr>
        <w:t>九、一般公共预算财政拨款</w:t>
      </w:r>
      <w:r>
        <w:rPr>
          <w:rFonts w:ascii="Times New Roman" w:hAnsi="Times New Roman" w:cs="黑体"/>
          <w:b/>
          <w:sz w:val="30"/>
          <w:szCs w:val="30"/>
        </w:rPr>
        <w:t>“</w:t>
      </w:r>
      <w:r>
        <w:rPr>
          <w:rFonts w:hAnsi="Times New Roman" w:cs="黑体" w:hint="eastAsia"/>
          <w:b/>
          <w:sz w:val="30"/>
          <w:szCs w:val="30"/>
        </w:rPr>
        <w:t>三公</w:t>
      </w:r>
      <w:r>
        <w:rPr>
          <w:rFonts w:ascii="Times New Roman" w:hAnsi="Times New Roman" w:cs="黑体"/>
          <w:b/>
          <w:sz w:val="30"/>
          <w:szCs w:val="30"/>
        </w:rPr>
        <w:t>”</w:t>
      </w:r>
      <w:r>
        <w:rPr>
          <w:rFonts w:hAnsi="Times New Roman" w:cs="黑体" w:hint="eastAsia"/>
          <w:b/>
          <w:sz w:val="30"/>
          <w:szCs w:val="30"/>
        </w:rPr>
        <w:t>经费</w:t>
      </w:r>
      <w:r>
        <w:rPr>
          <w:rFonts w:hAnsi="Times New Roman" w:cs="黑体" w:hint="eastAsia"/>
          <w:b/>
          <w:sz w:val="30"/>
          <w:szCs w:val="30"/>
          <w:lang w:val="zh-CN"/>
        </w:rPr>
        <w:t>支出决算</w:t>
      </w:r>
      <w:r>
        <w:rPr>
          <w:rFonts w:hAnsi="Times New Roman" w:cs="黑体" w:hint="eastAsia"/>
          <w:b/>
          <w:sz w:val="30"/>
          <w:szCs w:val="30"/>
        </w:rPr>
        <w:t>情况</w:t>
      </w:r>
    </w:p>
    <w:p w:rsidR="000471AC" w:rsidRDefault="000471AC">
      <w:pPr>
        <w:spacing w:line="600" w:lineRule="exact"/>
        <w:ind w:firstLineChars="200" w:firstLine="602"/>
        <w:rPr>
          <w:rFonts w:ascii="楷体" w:eastAsia="楷体" w:hAnsi="楷体" w:cs="楷体"/>
          <w:b/>
          <w:sz w:val="30"/>
          <w:szCs w:val="30"/>
        </w:rPr>
      </w:pPr>
      <w:r>
        <w:rPr>
          <w:rFonts w:ascii="楷体" w:eastAsia="楷体" w:hAnsi="楷体" w:cs="楷体" w:hint="eastAsia"/>
          <w:b/>
          <w:sz w:val="30"/>
          <w:szCs w:val="30"/>
        </w:rPr>
        <w:t>（一）总体情况</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年一般公共预算财政拨款“三公”经费预算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元，支出决算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元，与预算相比持平；较上年持平。主要原因是本年度未用一般公共预算列支“三公”经费。</w:t>
      </w:r>
    </w:p>
    <w:p w:rsidR="000471AC" w:rsidRDefault="000471AC">
      <w:pPr>
        <w:spacing w:line="600" w:lineRule="exact"/>
        <w:ind w:firstLineChars="200" w:firstLine="602"/>
        <w:rPr>
          <w:rFonts w:ascii="楷体" w:eastAsia="楷体" w:hAnsi="楷体" w:cs="楷体"/>
          <w:b/>
          <w:sz w:val="30"/>
          <w:szCs w:val="30"/>
        </w:rPr>
      </w:pPr>
      <w:r>
        <w:rPr>
          <w:rFonts w:ascii="楷体" w:eastAsia="楷体" w:hAnsi="楷体" w:cs="楷体" w:hint="eastAsia"/>
          <w:b/>
          <w:sz w:val="30"/>
          <w:szCs w:val="30"/>
        </w:rPr>
        <w:t>（二）具体情况</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sz w:val="30"/>
          <w:szCs w:val="30"/>
          <w:lang w:val="zh-CN"/>
        </w:rPr>
        <w:lastRenderedPageBreak/>
        <w:t>1.</w:t>
      </w:r>
      <w:r>
        <w:rPr>
          <w:rFonts w:ascii="仿宋_GB2312" w:eastAsia="仿宋_GB2312" w:hAnsi="仿宋_GB2312" w:cs="仿宋_GB2312" w:hint="eastAsia"/>
          <w:sz w:val="30"/>
          <w:szCs w:val="30"/>
          <w:lang w:val="zh-CN"/>
        </w:rPr>
        <w:t>因公出国（境）费预算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元，支出决算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元，与预算相比持平；较上年持平。主要原因是本年度未用一般公共预算列支“三公”经费。</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年本单位组织的出国团组</w:t>
      </w:r>
      <w:r>
        <w:rPr>
          <w:rFonts w:ascii="仿宋_GB2312" w:eastAsia="仿宋_GB2312" w:hAnsi="仿宋_GB2312" w:cs="仿宋_GB2312"/>
          <w:sz w:val="30"/>
          <w:szCs w:val="30"/>
          <w:lang w:val="zh-CN"/>
        </w:rPr>
        <w:t>0</w:t>
      </w:r>
      <w:r>
        <w:rPr>
          <w:rFonts w:ascii="仿宋_GB2312" w:eastAsia="仿宋_GB2312" w:hAnsi="仿宋_GB2312" w:cs="仿宋_GB2312" w:hint="eastAsia"/>
          <w:sz w:val="30"/>
          <w:szCs w:val="30"/>
          <w:lang w:val="zh-CN"/>
        </w:rPr>
        <w:t>个，出国</w:t>
      </w:r>
      <w:r>
        <w:rPr>
          <w:rFonts w:ascii="仿宋_GB2312" w:eastAsia="仿宋_GB2312" w:hAnsi="仿宋_GB2312" w:cs="仿宋_GB2312"/>
          <w:sz w:val="30"/>
          <w:szCs w:val="30"/>
          <w:lang w:val="zh-CN"/>
        </w:rPr>
        <w:t>0</w:t>
      </w:r>
      <w:r>
        <w:rPr>
          <w:rFonts w:ascii="仿宋_GB2312" w:eastAsia="仿宋_GB2312" w:hAnsi="仿宋_GB2312" w:cs="仿宋_GB2312" w:hint="eastAsia"/>
          <w:sz w:val="30"/>
          <w:szCs w:val="30"/>
          <w:lang w:val="zh-CN"/>
        </w:rPr>
        <w:t>人次。</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sz w:val="30"/>
          <w:szCs w:val="30"/>
          <w:lang w:val="zh-CN"/>
        </w:rPr>
        <w:t>2.</w:t>
      </w:r>
      <w:r>
        <w:rPr>
          <w:rFonts w:ascii="仿宋_GB2312" w:eastAsia="仿宋_GB2312" w:hAnsi="仿宋_GB2312" w:cs="仿宋_GB2312" w:hint="eastAsia"/>
          <w:sz w:val="30"/>
          <w:szCs w:val="30"/>
          <w:lang w:val="zh-CN"/>
        </w:rPr>
        <w:t>公务用车购置及运行维护费预算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元，支出决算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元，与预算相比持平；较上年持平。其中：</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公务用车运行维护费预算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元，支出决算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元，与预算相比持平；较上年持平。主要原因是本年未用一般公共预算财政拨款运行维护公务用车。截至</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w:t>
      </w:r>
      <w:r>
        <w:rPr>
          <w:rFonts w:ascii="仿宋_GB2312" w:eastAsia="仿宋_GB2312" w:hAnsi="仿宋_GB2312" w:cs="仿宋_GB2312"/>
          <w:sz w:val="30"/>
          <w:szCs w:val="30"/>
          <w:lang w:val="zh-CN"/>
        </w:rPr>
        <w:t>12</w:t>
      </w:r>
      <w:r>
        <w:rPr>
          <w:rFonts w:ascii="仿宋_GB2312" w:eastAsia="仿宋_GB2312" w:hAnsi="仿宋_GB2312" w:cs="仿宋_GB2312" w:hint="eastAsia"/>
          <w:sz w:val="30"/>
          <w:szCs w:val="30"/>
          <w:lang w:val="zh-CN"/>
        </w:rPr>
        <w:t>月</w:t>
      </w:r>
      <w:r>
        <w:rPr>
          <w:rFonts w:ascii="仿宋_GB2312" w:eastAsia="仿宋_GB2312" w:hAnsi="仿宋_GB2312" w:cs="仿宋_GB2312"/>
          <w:sz w:val="30"/>
          <w:szCs w:val="30"/>
          <w:lang w:val="zh-CN"/>
        </w:rPr>
        <w:t>31</w:t>
      </w:r>
      <w:r>
        <w:rPr>
          <w:rFonts w:ascii="仿宋_GB2312" w:eastAsia="仿宋_GB2312" w:hAnsi="仿宋_GB2312" w:cs="仿宋_GB2312" w:hint="eastAsia"/>
          <w:sz w:val="30"/>
          <w:szCs w:val="30"/>
          <w:lang w:val="zh-CN"/>
        </w:rPr>
        <w:t>日，使用一般公共预算财政拨款开支运行维护费的公务用车保有量为</w:t>
      </w:r>
      <w:r>
        <w:rPr>
          <w:rFonts w:ascii="仿宋_GB2312" w:eastAsia="仿宋_GB2312" w:hAnsi="仿宋_GB2312" w:cs="仿宋_GB2312"/>
          <w:sz w:val="30"/>
          <w:szCs w:val="30"/>
          <w:lang w:val="zh-CN"/>
        </w:rPr>
        <w:t>0</w:t>
      </w:r>
      <w:r>
        <w:rPr>
          <w:rFonts w:ascii="仿宋_GB2312" w:eastAsia="仿宋_GB2312" w:hAnsi="仿宋_GB2312" w:cs="仿宋_GB2312" w:hint="eastAsia"/>
          <w:sz w:val="30"/>
          <w:szCs w:val="30"/>
          <w:lang w:val="zh-CN"/>
        </w:rPr>
        <w:t>辆。</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公务用车购置费预算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元，支出决算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元，与预算相比持平；较上年持平。主要原因是本年未用一般公共预算财政拨款购置公务用车。</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年购置公务用车</w:t>
      </w:r>
      <w:r>
        <w:rPr>
          <w:rFonts w:ascii="仿宋_GB2312" w:eastAsia="仿宋_GB2312" w:hAnsi="仿宋_GB2312" w:cs="仿宋_GB2312"/>
          <w:sz w:val="30"/>
          <w:szCs w:val="30"/>
          <w:lang w:val="zh-CN"/>
        </w:rPr>
        <w:t>0</w:t>
      </w:r>
      <w:r>
        <w:rPr>
          <w:rFonts w:ascii="仿宋_GB2312" w:eastAsia="仿宋_GB2312" w:hAnsi="仿宋_GB2312" w:cs="仿宋_GB2312" w:hint="eastAsia"/>
          <w:sz w:val="30"/>
          <w:szCs w:val="30"/>
          <w:lang w:val="zh-CN"/>
        </w:rPr>
        <w:t>辆。</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sz w:val="30"/>
          <w:szCs w:val="30"/>
          <w:lang w:val="zh-CN"/>
        </w:rPr>
        <w:t>3.</w:t>
      </w:r>
      <w:r>
        <w:rPr>
          <w:rFonts w:ascii="仿宋_GB2312" w:eastAsia="仿宋_GB2312" w:hAnsi="仿宋_GB2312" w:cs="仿宋_GB2312" w:hint="eastAsia"/>
          <w:sz w:val="30"/>
          <w:szCs w:val="30"/>
          <w:lang w:val="zh-CN"/>
        </w:rPr>
        <w:t>公务接待费预算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元，支出决算</w:t>
      </w:r>
      <w:r>
        <w:rPr>
          <w:rFonts w:ascii="仿宋_GB2312" w:eastAsia="仿宋_GB2312" w:hAnsi="仿宋_GB2312" w:cs="仿宋_GB2312"/>
          <w:sz w:val="30"/>
          <w:szCs w:val="30"/>
          <w:lang w:val="zh-CN"/>
        </w:rPr>
        <w:t>0.00</w:t>
      </w:r>
      <w:r>
        <w:rPr>
          <w:rFonts w:ascii="仿宋_GB2312" w:eastAsia="仿宋_GB2312" w:hAnsi="仿宋_GB2312" w:cs="仿宋_GB2312" w:hint="eastAsia"/>
          <w:sz w:val="30"/>
          <w:szCs w:val="30"/>
          <w:lang w:val="zh-CN"/>
        </w:rPr>
        <w:t>元，与预算相比持平；较上年持平。主要原因是本年未安排公务接待活动。</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年本单位国内公务接待</w:t>
      </w:r>
      <w:r>
        <w:rPr>
          <w:rFonts w:ascii="仿宋_GB2312" w:eastAsia="仿宋_GB2312" w:hAnsi="仿宋_GB2312" w:cs="仿宋_GB2312"/>
          <w:sz w:val="30"/>
          <w:szCs w:val="30"/>
          <w:lang w:val="zh-CN"/>
        </w:rPr>
        <w:t>0</w:t>
      </w:r>
      <w:r>
        <w:rPr>
          <w:rFonts w:ascii="仿宋_GB2312" w:eastAsia="仿宋_GB2312" w:hAnsi="仿宋_GB2312" w:cs="仿宋_GB2312" w:hint="eastAsia"/>
          <w:sz w:val="30"/>
          <w:szCs w:val="30"/>
          <w:lang w:val="zh-CN"/>
        </w:rPr>
        <w:t>批次，</w:t>
      </w:r>
      <w:r>
        <w:rPr>
          <w:rFonts w:ascii="仿宋_GB2312" w:eastAsia="仿宋_GB2312" w:hAnsi="仿宋_GB2312" w:cs="仿宋_GB2312"/>
          <w:sz w:val="30"/>
          <w:szCs w:val="30"/>
          <w:lang w:val="zh-CN"/>
        </w:rPr>
        <w:t>0</w:t>
      </w:r>
      <w:r>
        <w:rPr>
          <w:rFonts w:ascii="仿宋_GB2312" w:eastAsia="仿宋_GB2312" w:hAnsi="仿宋_GB2312" w:cs="仿宋_GB2312" w:hint="eastAsia"/>
          <w:sz w:val="30"/>
          <w:szCs w:val="30"/>
          <w:lang w:val="zh-CN"/>
        </w:rPr>
        <w:t>人次；其中，外事接待</w:t>
      </w:r>
      <w:r>
        <w:rPr>
          <w:rFonts w:ascii="仿宋_GB2312" w:eastAsia="仿宋_GB2312" w:hAnsi="仿宋_GB2312" w:cs="仿宋_GB2312"/>
          <w:sz w:val="30"/>
          <w:szCs w:val="30"/>
          <w:lang w:val="zh-CN"/>
        </w:rPr>
        <w:t>0</w:t>
      </w:r>
      <w:r>
        <w:rPr>
          <w:rFonts w:ascii="仿宋_GB2312" w:eastAsia="仿宋_GB2312" w:hAnsi="仿宋_GB2312" w:cs="仿宋_GB2312" w:hint="eastAsia"/>
          <w:sz w:val="30"/>
          <w:szCs w:val="30"/>
          <w:lang w:val="zh-CN"/>
        </w:rPr>
        <w:t>批次，</w:t>
      </w:r>
      <w:r>
        <w:rPr>
          <w:rFonts w:ascii="仿宋_GB2312" w:eastAsia="仿宋_GB2312" w:hAnsi="仿宋_GB2312" w:cs="仿宋_GB2312"/>
          <w:sz w:val="30"/>
          <w:szCs w:val="30"/>
          <w:lang w:val="zh-CN"/>
        </w:rPr>
        <w:t>0</w:t>
      </w:r>
      <w:r>
        <w:rPr>
          <w:rFonts w:ascii="仿宋_GB2312" w:eastAsia="仿宋_GB2312" w:hAnsi="仿宋_GB2312" w:cs="仿宋_GB2312" w:hint="eastAsia"/>
          <w:sz w:val="30"/>
          <w:szCs w:val="30"/>
          <w:lang w:val="zh-CN"/>
        </w:rPr>
        <w:t>人次。</w:t>
      </w:r>
    </w:p>
    <w:p w:rsidR="000471AC" w:rsidRDefault="000471AC">
      <w:pPr>
        <w:pStyle w:val="2"/>
        <w:keepNext/>
        <w:keepLines/>
        <w:spacing w:line="600" w:lineRule="exact"/>
        <w:ind w:firstLine="602"/>
        <w:rPr>
          <w:rFonts w:hAnsi="Times New Roman" w:cs="黑体"/>
          <w:b/>
          <w:sz w:val="30"/>
          <w:szCs w:val="30"/>
        </w:rPr>
      </w:pPr>
      <w:r>
        <w:rPr>
          <w:rFonts w:hAnsi="Times New Roman" w:cs="黑体" w:hint="eastAsia"/>
          <w:b/>
          <w:sz w:val="30"/>
          <w:szCs w:val="30"/>
        </w:rPr>
        <w:t>十、机关运行经费支出情况说明</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年度无机关运行经费。</w:t>
      </w:r>
    </w:p>
    <w:p w:rsidR="000471AC" w:rsidRDefault="000471AC">
      <w:pPr>
        <w:pStyle w:val="2"/>
        <w:keepNext/>
        <w:keepLines/>
        <w:spacing w:line="600" w:lineRule="exact"/>
        <w:ind w:firstLine="602"/>
        <w:rPr>
          <w:rFonts w:hAnsi="Times New Roman" w:cs="黑体"/>
          <w:b/>
          <w:sz w:val="30"/>
          <w:szCs w:val="30"/>
        </w:rPr>
      </w:pPr>
      <w:r>
        <w:rPr>
          <w:rFonts w:hAnsi="Times New Roman" w:cs="黑体" w:hint="eastAsia"/>
          <w:b/>
          <w:sz w:val="30"/>
          <w:szCs w:val="30"/>
        </w:rPr>
        <w:t>十一、政府采购支出情况说明</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年度无政府采购支出。</w:t>
      </w:r>
    </w:p>
    <w:p w:rsidR="000471AC" w:rsidRDefault="000471AC">
      <w:pPr>
        <w:spacing w:line="600" w:lineRule="exact"/>
        <w:ind w:firstLine="600"/>
        <w:rPr>
          <w:rFonts w:hAnsi="Times New Roman" w:cs="黑体"/>
          <w:b/>
          <w:sz w:val="30"/>
          <w:szCs w:val="30"/>
        </w:rPr>
      </w:pPr>
      <w:r>
        <w:rPr>
          <w:rFonts w:hAnsi="Times New Roman" w:cs="黑体" w:hint="eastAsia"/>
          <w:b/>
          <w:sz w:val="30"/>
          <w:szCs w:val="30"/>
          <w:lang w:val="zh-CN"/>
        </w:rPr>
        <w:t>十二、</w:t>
      </w:r>
      <w:r>
        <w:rPr>
          <w:rFonts w:hAnsi="Times New Roman" w:cs="黑体" w:hint="eastAsia"/>
          <w:b/>
          <w:sz w:val="30"/>
          <w:szCs w:val="30"/>
        </w:rPr>
        <w:t>国有资产占有使用情况说明</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年度无国有资产占有</w:t>
      </w:r>
      <w:r>
        <w:rPr>
          <w:rFonts w:ascii="仿宋_GB2312" w:eastAsia="仿宋_GB2312" w:hAnsi="仿宋_GB2312" w:cs="仿宋_GB2312" w:hint="eastAsia"/>
          <w:sz w:val="30"/>
          <w:szCs w:val="30"/>
          <w:lang w:val="zh-CN"/>
        </w:rPr>
        <w:lastRenderedPageBreak/>
        <w:t>使用情况。</w:t>
      </w:r>
    </w:p>
    <w:p w:rsidR="000471AC" w:rsidRDefault="000471AC">
      <w:pPr>
        <w:spacing w:line="600" w:lineRule="exact"/>
        <w:ind w:firstLine="600"/>
        <w:rPr>
          <w:rFonts w:hAnsi="Times New Roman" w:cs="黑体"/>
          <w:b/>
          <w:sz w:val="30"/>
          <w:szCs w:val="30"/>
        </w:rPr>
      </w:pPr>
      <w:r>
        <w:rPr>
          <w:rFonts w:hAnsi="Times New Roman" w:cs="黑体" w:hint="eastAsia"/>
          <w:b/>
          <w:sz w:val="30"/>
          <w:szCs w:val="30"/>
          <w:lang w:val="zh-CN"/>
        </w:rPr>
        <w:t>十三、</w:t>
      </w:r>
      <w:r>
        <w:rPr>
          <w:rFonts w:hAnsi="Times New Roman" w:cs="黑体" w:hint="eastAsia"/>
          <w:b/>
          <w:sz w:val="30"/>
          <w:szCs w:val="30"/>
        </w:rPr>
        <w:t>预算绩效情况说明</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年度没有项目支出，无需开展绩效自评。</w:t>
      </w:r>
    </w:p>
    <w:p w:rsidR="000471AC" w:rsidRDefault="000471AC">
      <w:pPr>
        <w:spacing w:line="600" w:lineRule="exact"/>
        <w:ind w:firstLine="600"/>
        <w:rPr>
          <w:rFonts w:hAnsi="Times New Roman" w:cs="黑体"/>
          <w:b/>
          <w:sz w:val="30"/>
          <w:szCs w:val="30"/>
        </w:rPr>
      </w:pPr>
      <w:r>
        <w:rPr>
          <w:rFonts w:hAnsi="Times New Roman" w:cs="黑体" w:hint="eastAsia"/>
          <w:b/>
          <w:sz w:val="30"/>
          <w:szCs w:val="30"/>
          <w:lang w:val="zh-CN"/>
        </w:rPr>
        <w:t>十四、</w:t>
      </w:r>
      <w:r>
        <w:rPr>
          <w:rFonts w:hAnsi="Times New Roman" w:cs="黑体" w:hint="eastAsia"/>
          <w:b/>
          <w:sz w:val="30"/>
          <w:szCs w:val="30"/>
        </w:rPr>
        <w:t>教育、医疗卫生、社会保障和就业、住房保障、涉农补贴等民生支出情况说明</w:t>
      </w:r>
    </w:p>
    <w:p w:rsidR="000471AC" w:rsidRDefault="000471AC">
      <w:pPr>
        <w:spacing w:line="600" w:lineRule="exact"/>
        <w:ind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天津渤海化工有限责任公司（本级）</w:t>
      </w:r>
      <w:r>
        <w:rPr>
          <w:rFonts w:ascii="仿宋_GB2312" w:eastAsia="仿宋_GB2312" w:hAnsi="仿宋_GB2312" w:cs="仿宋_GB2312"/>
          <w:sz w:val="30"/>
          <w:szCs w:val="30"/>
          <w:lang w:val="zh-CN"/>
        </w:rPr>
        <w:t>2022</w:t>
      </w:r>
      <w:r>
        <w:rPr>
          <w:rFonts w:ascii="仿宋_GB2312" w:eastAsia="仿宋_GB2312" w:hAnsi="仿宋_GB2312" w:cs="仿宋_GB2312" w:hint="eastAsia"/>
          <w:sz w:val="30"/>
          <w:szCs w:val="30"/>
          <w:lang w:val="zh-CN"/>
        </w:rPr>
        <w:t>年度无教育、医疗卫生、社会保障和就业、住房保障、涉农补贴等民生支出情况。</w:t>
      </w:r>
    </w:p>
    <w:p w:rsidR="000471AC" w:rsidRDefault="000471AC">
      <w:pPr>
        <w:rPr>
          <w:rFonts w:ascii="仿宋_GB2312" w:eastAsia="仿宋_GB2312" w:hAnsi="Times New Roman" w:cs="仿宋_GB2312"/>
          <w:b/>
          <w:color w:val="000000"/>
          <w:sz w:val="30"/>
          <w:szCs w:val="30"/>
        </w:rPr>
      </w:pPr>
      <w:r>
        <w:rPr>
          <w:rFonts w:ascii="仿宋_GB2312" w:eastAsia="仿宋_GB2312" w:hAnsi="Times New Roman" w:cs="仿宋_GB2312"/>
          <w:b/>
          <w:color w:val="000000"/>
          <w:sz w:val="30"/>
          <w:szCs w:val="30"/>
        </w:rPr>
        <w:br w:type="page"/>
      </w:r>
    </w:p>
    <w:p w:rsidR="000471AC" w:rsidRDefault="000471AC">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第四部分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名词解释</w:t>
      </w:r>
    </w:p>
    <w:p w:rsidR="000471AC" w:rsidRDefault="000471AC">
      <w:pPr>
        <w:spacing w:line="600" w:lineRule="exact"/>
        <w:ind w:firstLine="600"/>
        <w:rPr>
          <w:rFonts w:ascii="仿宋_GB2312" w:eastAsia="仿宋_GB2312" w:hAnsi="Times New Roman" w:cs="仿宋_GB2312"/>
          <w:sz w:val="30"/>
          <w:szCs w:val="30"/>
        </w:rPr>
      </w:pPr>
    </w:p>
    <w:p w:rsidR="000471AC" w:rsidRDefault="000471AC">
      <w:pPr>
        <w:spacing w:line="600" w:lineRule="exact"/>
        <w:ind w:firstLine="600"/>
        <w:rPr>
          <w:rFonts w:ascii="仿宋_GB2312" w:eastAsia="仿宋_GB2312" w:hAnsi="Times New Roman" w:cs="Times New Roman"/>
          <w:sz w:val="30"/>
        </w:rPr>
      </w:pPr>
      <w:r>
        <w:rPr>
          <w:rFonts w:ascii="仿宋_GB2312" w:eastAsia="仿宋_GB2312" w:hAnsi="Times New Roman" w:cs="Times New Roman"/>
          <w:sz w:val="30"/>
        </w:rPr>
        <w:t>1.</w:t>
      </w:r>
      <w:r>
        <w:rPr>
          <w:rFonts w:ascii="仿宋_GB2312" w:eastAsia="仿宋_GB2312" w:hAnsi="Times New Roman" w:cs="Times New Roman" w:hint="eastAsia"/>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0471AC" w:rsidRDefault="000471AC">
      <w:pPr>
        <w:spacing w:line="600" w:lineRule="exact"/>
        <w:ind w:firstLine="600"/>
        <w:rPr>
          <w:rFonts w:ascii="仿宋_GB2312" w:eastAsia="仿宋_GB2312" w:hAnsi="Times New Roman" w:cs="Times New Roman"/>
          <w:noProof/>
          <w:sz w:val="30"/>
        </w:rPr>
      </w:pPr>
      <w:r>
        <w:rPr>
          <w:rFonts w:ascii="仿宋_GB2312" w:eastAsia="仿宋_GB2312" w:hAnsi="Times New Roman" w:cs="Times New Roman"/>
          <w:noProof/>
          <w:sz w:val="30"/>
        </w:rPr>
        <w:t>2.</w:t>
      </w:r>
      <w:r>
        <w:rPr>
          <w:rFonts w:ascii="仿宋_GB2312" w:eastAsia="仿宋_GB2312" w:hAnsi="Times New Roman" w:cs="Times New Roman" w:hint="eastAsia"/>
          <w:noProof/>
          <w:sz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0471AC" w:rsidRDefault="000471AC">
      <w:pPr>
        <w:spacing w:line="600" w:lineRule="exact"/>
        <w:ind w:firstLine="600"/>
        <w:rPr>
          <w:rFonts w:ascii="仿宋_GB2312" w:eastAsia="仿宋_GB2312" w:hAnsi="Times New Roman" w:cs="Times New Roman"/>
          <w:sz w:val="30"/>
        </w:rPr>
      </w:pPr>
      <w:r>
        <w:rPr>
          <w:rFonts w:ascii="仿宋_GB2312" w:eastAsia="仿宋_GB2312" w:hAnsi="Times New Roman" w:cs="Times New Roman"/>
          <w:sz w:val="30"/>
        </w:rPr>
        <w:t>3.</w:t>
      </w:r>
      <w:r>
        <w:rPr>
          <w:rFonts w:ascii="仿宋_GB2312" w:eastAsia="仿宋_GB2312" w:hAnsi="Times New Roman" w:cs="Times New Roman" w:hint="eastAsia"/>
          <w:sz w:val="30"/>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rsidR="000471AC" w:rsidRDefault="000471AC">
      <w:pPr>
        <w:spacing w:line="600" w:lineRule="exact"/>
        <w:ind w:firstLine="600"/>
        <w:rPr>
          <w:rFonts w:ascii="楷体" w:eastAsia="楷体" w:hAnsi="Times New Roman" w:cs="楷体"/>
          <w:sz w:val="30"/>
          <w:szCs w:val="30"/>
        </w:rPr>
      </w:pPr>
    </w:p>
    <w:sectPr w:rsidR="000471A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E55" w:rsidRDefault="00824E55">
      <w:pPr>
        <w:rPr>
          <w:rFonts w:ascii="Times New Roman" w:eastAsia="宋体" w:hAnsi="Times New Roman" w:cs="Times New Roman"/>
        </w:rPr>
      </w:pPr>
      <w:r>
        <w:rPr>
          <w:rFonts w:ascii="Times New Roman" w:eastAsia="宋体" w:hAnsi="Times New Roman" w:cs="Times New Roman"/>
        </w:rPr>
        <w:separator/>
      </w:r>
    </w:p>
  </w:endnote>
  <w:endnote w:type="continuationSeparator" w:id="0">
    <w:p w:rsidR="00824E55" w:rsidRDefault="00824E55">
      <w:pPr>
        <w:rPr>
          <w:rFonts w:ascii="Times New Roman" w:eastAsia="宋体" w:hAnsi="Times New Roman" w:cs="Times New Roman"/>
        </w:rPr>
      </w:pPr>
      <w:r>
        <w:rPr>
          <w:rFonts w:ascii="Times New Roman" w:eastAsia="宋体"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0AFF" w:usb1="00007843" w:usb2="00000001" w:usb3="00000000" w:csb0="000001B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10002FF" w:usb1="4000ACFF" w:usb2="00000009" w:usb3="00000000" w:csb0="0000019F" w:csb1="00000000"/>
  </w:font>
  <w:font w:name="Sakkal Majalla">
    <w:altName w:val="Wide Latin"/>
    <w:panose1 w:val="02000000000000000000"/>
    <w:charset w:val="00"/>
    <w:family w:val="auto"/>
    <w:pitch w:val="variable"/>
    <w:sig w:usb0="A000207F" w:usb1="C000204B" w:usb2="00000008" w:usb3="00000000" w:csb0="000000D3" w:csb1="00000000"/>
  </w:font>
  <w:font w:name="Calibri Light">
    <w:altName w:val="Calibri Light"/>
    <w:panose1 w:val="020F0302020204030204"/>
    <w:charset w:val="00"/>
    <w:family w:val="swiss"/>
    <w:pitch w:val="variable"/>
    <w:sig w:usb0="A00002EF" w:usb1="4000207B" w:usb2="00000000" w:usb3="00000000" w:csb0="0000019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E55" w:rsidRDefault="00824E55">
      <w:pPr>
        <w:rPr>
          <w:rFonts w:ascii="Times New Roman" w:eastAsia="宋体" w:hAnsi="Times New Roman" w:cs="Times New Roman"/>
        </w:rPr>
      </w:pPr>
      <w:r>
        <w:rPr>
          <w:rFonts w:ascii="Times New Roman" w:eastAsia="宋体" w:hAnsi="Times New Roman" w:cs="Times New Roman"/>
        </w:rPr>
        <w:separator/>
      </w:r>
    </w:p>
  </w:footnote>
  <w:footnote w:type="continuationSeparator" w:id="0">
    <w:p w:rsidR="00824E55" w:rsidRDefault="00824E55">
      <w:pPr>
        <w:rPr>
          <w:rFonts w:ascii="Times New Roman" w:eastAsia="宋体" w:hAnsi="Times New Roman" w:cs="Times New Roman"/>
        </w:rPr>
      </w:pPr>
      <w:r>
        <w:rPr>
          <w:rFonts w:ascii="Times New Roman" w:eastAsia="宋体"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CCE29D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042846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5D889D7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3BDA8FE2"/>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5F106D0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2868D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DB04A08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868E8D9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A59CEE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7724848"/>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xNDQ4YzMzYjUyZmM0NzdmNzM1OTFhMzE3Nzc2YWYifQ=="/>
  </w:docVars>
  <w:rsids>
    <w:rsidRoot w:val="00267029"/>
    <w:rsid w:val="00000000"/>
    <w:rsid w:val="000471AC"/>
    <w:rsid w:val="0008101A"/>
    <w:rsid w:val="00267029"/>
    <w:rsid w:val="004B7226"/>
    <w:rsid w:val="00824E55"/>
    <w:rsid w:val="00A3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6DF6ED-D34C-41C0-A25F-EEE1CE92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371">
    <w:lsdException w:name="Normal" w:uiPriority="0"/>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uiPriority="3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qFormat/>
    <w:pPr>
      <w:widowControl w:val="0"/>
      <w:autoSpaceDE w:val="0"/>
      <w:autoSpaceDN w:val="0"/>
      <w:adjustRightInd w:val="0"/>
    </w:pPr>
    <w:rPr>
      <w:rFonts w:ascii="黑体" w:eastAsia="黑体" w:hAnsi="Calibri" w:cs="Sakkal Majalla"/>
      <w:kern w:val="0"/>
      <w:sz w:val="24"/>
      <w:szCs w:val="24"/>
    </w:rPr>
  </w:style>
  <w:style w:type="paragraph" w:styleId="1">
    <w:name w:val="heading 1"/>
    <w:basedOn w:val="a"/>
    <w:next w:val="a"/>
    <w:link w:val="1Char"/>
    <w:uiPriority w:val="99"/>
    <w:qFormat/>
    <w:pPr>
      <w:outlineLvl w:val="0"/>
    </w:pPr>
  </w:style>
  <w:style w:type="paragraph" w:styleId="2">
    <w:name w:val="heading 2"/>
    <w:basedOn w:val="a"/>
    <w:next w:val="a"/>
    <w:link w:val="2Char"/>
    <w:uiPriority w:val="99"/>
    <w:qFormat/>
    <w:pPr>
      <w:outlineLvl w:val="1"/>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0">
    <w:name w:val="页脚 Char1"/>
    <w:basedOn w:val="a0"/>
    <w:link w:val="a4"/>
    <w:uiPriority w:val="99"/>
    <w:unhideWhenUsed/>
    <w:locked/>
    <w:rPr>
      <w:rFonts w:ascii="黑体" w:eastAsia="黑体" w:cs="Sakkal Majalla"/>
      <w:sz w:val="18"/>
      <w:szCs w:val="18"/>
    </w:rPr>
  </w:style>
  <w:style w:type="character" w:customStyle="1" w:styleId="2Char">
    <w:name w:val="标题 2 Char"/>
    <w:basedOn w:val="a0"/>
    <w:link w:val="2"/>
    <w:uiPriority w:val="9"/>
    <w:unhideWhenUsed/>
    <w:locked/>
    <w:rPr>
      <w:rFonts w:ascii="Calibri Light" w:hAnsi="Calibri Light" w:cs="Times New Roman"/>
      <w:b/>
      <w:sz w:val="32"/>
      <w:szCs w:val="32"/>
    </w:rPr>
  </w:style>
  <w:style w:type="character" w:customStyle="1" w:styleId="Char1">
    <w:name w:val="页眉 Char1"/>
    <w:basedOn w:val="a0"/>
    <w:link w:val="a3"/>
    <w:uiPriority w:val="99"/>
    <w:unhideWhenUsed/>
    <w:locked/>
    <w:rPr>
      <w:rFonts w:ascii="黑体" w:eastAsia="黑体" w:cs="Sakkal Majalla"/>
      <w:sz w:val="18"/>
      <w:szCs w:val="18"/>
    </w:rPr>
  </w:style>
  <w:style w:type="character" w:customStyle="1" w:styleId="1Char">
    <w:name w:val="标题 1 Char"/>
    <w:basedOn w:val="a0"/>
    <w:link w:val="1"/>
    <w:uiPriority w:val="9"/>
    <w:unhideWhenUsed/>
    <w:locked/>
    <w:rPr>
      <w:rFonts w:ascii="黑体" w:eastAsia="黑体" w:cs="Sakkal Majalla"/>
      <w:b/>
      <w:kern w:val="44"/>
      <w:sz w:val="44"/>
      <w:szCs w:val="44"/>
    </w:rPr>
  </w:style>
  <w:style w:type="character" w:customStyle="1" w:styleId="Char">
    <w:name w:val="页眉 Char"/>
    <w:basedOn w:val="a0"/>
    <w:uiPriority w:val="99"/>
    <w:semiHidden/>
    <w:rPr>
      <w:rFonts w:ascii="黑体" w:eastAsia="黑体" w:hAnsi="Calibri" w:cs="Sakkal Majalla"/>
      <w:kern w:val="0"/>
      <w:sz w:val="18"/>
      <w:szCs w:val="18"/>
    </w:rPr>
  </w:style>
  <w:style w:type="character" w:customStyle="1" w:styleId="a5">
    <w:name w:val="页眉 字符"/>
    <w:basedOn w:val="a0"/>
    <w:uiPriority w:val="99"/>
    <w:semiHidden/>
    <w:rPr>
      <w:rFonts w:ascii="黑体" w:eastAsia="黑体" w:hAnsi="Calibri" w:cs="Sakkal Majalla"/>
      <w:kern w:val="0"/>
      <w:sz w:val="18"/>
      <w:szCs w:val="18"/>
    </w:rPr>
  </w:style>
  <w:style w:type="paragraph" w:styleId="a4">
    <w:name w:val="footer"/>
    <w:basedOn w:val="a"/>
    <w:link w:val="Char10"/>
    <w:uiPriority w:val="99"/>
    <w:unhideWhenUsed/>
    <w:pPr>
      <w:tabs>
        <w:tab w:val="center" w:pos="4153"/>
        <w:tab w:val="right" w:pos="8306"/>
      </w:tabs>
      <w:snapToGrid w:val="0"/>
    </w:pPr>
    <w:rPr>
      <w:sz w:val="18"/>
      <w:szCs w:val="18"/>
    </w:rPr>
  </w:style>
  <w:style w:type="character" w:customStyle="1" w:styleId="Char0">
    <w:name w:val="页脚 Char"/>
    <w:basedOn w:val="a0"/>
    <w:uiPriority w:val="99"/>
    <w:semiHidden/>
    <w:rPr>
      <w:rFonts w:ascii="黑体" w:eastAsia="黑体" w:hAnsi="Calibri" w:cs="Sakkal Majalla"/>
      <w:kern w:val="0"/>
      <w:sz w:val="18"/>
      <w:szCs w:val="18"/>
    </w:rPr>
  </w:style>
  <w:style w:type="character" w:customStyle="1" w:styleId="a6">
    <w:name w:val="页脚 字符"/>
    <w:basedOn w:val="a0"/>
    <w:uiPriority w:val="99"/>
    <w:semiHidden/>
    <w:rPr>
      <w:rFonts w:ascii="黑体" w:eastAsia="黑体" w:hAnsi="Calibri" w:cs="Sakkal Majall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jl</cp:lastModifiedBy>
  <cp:revision>2</cp:revision>
  <dcterms:created xsi:type="dcterms:W3CDTF">2024-03-06T02:53:00Z</dcterms:created>
  <dcterms:modified xsi:type="dcterms:W3CDTF">2024-03-06T02:53:00Z</dcterms:modified>
</cp:coreProperties>
</file>