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天津市玉烨装潢设计中心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2021年度部门决算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第一部分  概 况</w:t>
      </w:r>
    </w:p>
    <w:p>
      <w:pPr>
        <w:spacing w:line="600" w:lineRule="exact"/>
        <w:rPr>
          <w:rFonts w:hint="eastAsia"/>
        </w:rPr>
      </w:pP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bCs w:val="0"/>
          <w:sz w:val="30"/>
          <w:szCs w:val="30"/>
        </w:rPr>
      </w:pPr>
      <w:bookmarkStart w:id="0" w:name="_Toc9987"/>
      <w:r>
        <w:rPr>
          <w:rFonts w:hint="eastAsia" w:ascii="黑体" w:hAnsi="黑体" w:eastAsia="黑体"/>
          <w:b w:val="0"/>
          <w:bCs w:val="0"/>
          <w:sz w:val="30"/>
          <w:szCs w:val="30"/>
        </w:rPr>
        <w:t>一、主要职责</w:t>
      </w:r>
      <w:bookmarkEnd w:id="0"/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1" w:name="_Toc26464"/>
      <w:r>
        <w:rPr>
          <w:rFonts w:hint="eastAsia" w:ascii="仿宋_GB2312" w:eastAsia="仿宋_GB2312"/>
          <w:sz w:val="30"/>
          <w:szCs w:val="30"/>
        </w:rPr>
        <w:t>天津市</w:t>
      </w:r>
      <w:r>
        <w:rPr>
          <w:rFonts w:hint="eastAsia" w:ascii="仿宋_GB2312" w:eastAsia="仿宋_GB2312"/>
          <w:sz w:val="30"/>
          <w:szCs w:val="30"/>
          <w:lang w:eastAsia="zh-CN"/>
        </w:rPr>
        <w:t>玉烨装潢设计中心</w:t>
      </w:r>
      <w:r>
        <w:rPr>
          <w:rFonts w:hint="eastAsia" w:ascii="仿宋_GB2312" w:eastAsia="仿宋_GB2312"/>
          <w:sz w:val="30"/>
          <w:szCs w:val="30"/>
        </w:rPr>
        <w:t>主要职责是负责转制前人员工资发放。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bCs w:val="0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</w:rPr>
        <w:t>二、机构设置</w:t>
      </w:r>
      <w:bookmarkEnd w:id="1"/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</w:t>
      </w:r>
      <w:r>
        <w:rPr>
          <w:rFonts w:hint="eastAsia" w:ascii="仿宋_GB2312" w:eastAsia="仿宋_GB2312"/>
          <w:sz w:val="30"/>
          <w:szCs w:val="30"/>
          <w:lang w:eastAsia="zh-CN"/>
        </w:rPr>
        <w:t>玉烨装潢设计中心</w:t>
      </w:r>
      <w:r>
        <w:rPr>
          <w:rFonts w:hint="eastAsia" w:ascii="仿宋_GB2312" w:eastAsia="仿宋_GB2312"/>
          <w:sz w:val="30"/>
          <w:szCs w:val="30"/>
        </w:rPr>
        <w:t>为转制单位。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</w:rPr>
      </w:pPr>
      <w:bookmarkStart w:id="2" w:name="_Toc30850"/>
      <w:r>
        <w:rPr>
          <w:rFonts w:ascii="方正小标宋简体" w:hAnsi="方正小标宋简体" w:eastAsia="方正小标宋简体" w:cs="方正小标宋简体"/>
          <w:b w:val="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</w:rPr>
        <w:t>二</w:t>
      </w:r>
      <w:r>
        <w:rPr>
          <w:rFonts w:ascii="方正小标宋简体" w:hAnsi="方正小标宋简体" w:eastAsia="方正小标宋简体" w:cs="方正小标宋简体"/>
          <w:b w:val="0"/>
        </w:rPr>
        <w:t xml:space="preserve">部分  </w:t>
      </w:r>
      <w:r>
        <w:rPr>
          <w:rFonts w:hint="eastAsia" w:ascii="方正小标宋简体" w:hAnsi="方正小标宋简体" w:eastAsia="方正小标宋简体" w:cs="方正小标宋简体"/>
          <w:b w:val="0"/>
        </w:rPr>
        <w:t>2021</w:t>
      </w:r>
      <w:r>
        <w:rPr>
          <w:rFonts w:ascii="方正小标宋简体" w:hAnsi="方正小标宋简体" w:eastAsia="方正小标宋简体" w:cs="方正小标宋简体"/>
          <w:b w:val="0"/>
        </w:rPr>
        <w:t>年度部门决算</w:t>
      </w:r>
      <w:r>
        <w:rPr>
          <w:rFonts w:hint="eastAsia" w:ascii="方正小标宋简体" w:hAnsi="方正小标宋简体" w:eastAsia="方正小标宋简体" w:cs="方正小标宋简体"/>
          <w:b w:val="0"/>
        </w:rPr>
        <w:t>表</w:t>
      </w:r>
      <w:bookmarkEnd w:id="2"/>
    </w:p>
    <w:p>
      <w:pPr>
        <w:spacing w:line="600" w:lineRule="exact"/>
        <w:rPr>
          <w:rFonts w:hint="eastAsia"/>
        </w:rPr>
      </w:pPr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3" w:name="_Toc25952"/>
      <w:r>
        <w:rPr>
          <w:rFonts w:ascii="黑体" w:hAnsi="黑体" w:eastAsia="黑体"/>
          <w:b w:val="0"/>
          <w:sz w:val="30"/>
          <w:szCs w:val="30"/>
        </w:rPr>
        <w:t>一</w:t>
      </w:r>
      <w:r>
        <w:rPr>
          <w:rFonts w:hint="eastAsia" w:ascii="黑体" w:hAnsi="黑体" w:eastAsia="黑体"/>
          <w:b w:val="0"/>
          <w:sz w:val="30"/>
          <w:szCs w:val="30"/>
        </w:rPr>
        <w:t>、</w:t>
      </w:r>
      <w:r>
        <w:rPr>
          <w:rFonts w:ascii="黑体" w:hAnsi="黑体" w:eastAsia="黑体"/>
          <w:b w:val="0"/>
          <w:sz w:val="30"/>
          <w:szCs w:val="30"/>
        </w:rPr>
        <w:t>《</w:t>
      </w:r>
      <w:r>
        <w:rPr>
          <w:rFonts w:hint="eastAsia" w:ascii="黑体" w:hAnsi="黑体" w:eastAsia="黑体"/>
          <w:b w:val="0"/>
          <w:sz w:val="30"/>
          <w:szCs w:val="30"/>
        </w:rPr>
        <w:t>收入</w:t>
      </w:r>
      <w:r>
        <w:rPr>
          <w:rFonts w:ascii="黑体" w:hAnsi="黑体" w:eastAsia="黑体"/>
          <w:b w:val="0"/>
          <w:sz w:val="30"/>
          <w:szCs w:val="30"/>
        </w:rPr>
        <w:t>支出</w:t>
      </w:r>
      <w:r>
        <w:rPr>
          <w:rFonts w:hint="eastAsia" w:ascii="黑体" w:hAnsi="黑体" w:eastAsia="黑体"/>
          <w:b w:val="0"/>
          <w:sz w:val="30"/>
          <w:szCs w:val="30"/>
        </w:rPr>
        <w:t>决算总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3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4" w:name="_Toc14631"/>
      <w:r>
        <w:rPr>
          <w:rFonts w:ascii="黑体" w:hAnsi="黑体" w:eastAsia="黑体"/>
          <w:b w:val="0"/>
          <w:sz w:val="30"/>
          <w:szCs w:val="30"/>
        </w:rPr>
        <w:t>二、《收入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</w:t>
      </w:r>
      <w:r>
        <w:rPr>
          <w:rFonts w:hint="eastAsia" w:ascii="黑体" w:hAnsi="黑体" w:eastAsia="黑体"/>
          <w:b w:val="0"/>
          <w:sz w:val="30"/>
          <w:szCs w:val="30"/>
        </w:rPr>
        <w:t>（按功能分类列示）</w:t>
      </w:r>
      <w:r>
        <w:rPr>
          <w:rFonts w:ascii="黑体" w:hAnsi="黑体" w:eastAsia="黑体"/>
          <w:b w:val="0"/>
          <w:sz w:val="30"/>
          <w:szCs w:val="30"/>
        </w:rPr>
        <w:t>》</w:t>
      </w:r>
      <w:bookmarkEnd w:id="4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5" w:name="_Toc15648"/>
      <w:r>
        <w:rPr>
          <w:rFonts w:hint="eastAsia" w:ascii="黑体" w:hAnsi="黑体" w:eastAsia="黑体"/>
          <w:b w:val="0"/>
          <w:sz w:val="30"/>
          <w:szCs w:val="30"/>
        </w:rPr>
        <w:t>三</w:t>
      </w:r>
      <w:r>
        <w:rPr>
          <w:rFonts w:ascii="黑体" w:hAnsi="黑体" w:eastAsia="黑体"/>
          <w:b w:val="0"/>
          <w:sz w:val="30"/>
          <w:szCs w:val="30"/>
        </w:rPr>
        <w:t>、《收入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</w:t>
      </w:r>
      <w:r>
        <w:rPr>
          <w:rFonts w:hint="eastAsia" w:ascii="黑体" w:hAnsi="黑体" w:eastAsia="黑体"/>
          <w:b w:val="0"/>
          <w:sz w:val="30"/>
          <w:szCs w:val="30"/>
        </w:rPr>
        <w:t>（按单位列示）</w:t>
      </w:r>
      <w:r>
        <w:rPr>
          <w:rFonts w:ascii="黑体" w:hAnsi="黑体" w:eastAsia="黑体"/>
          <w:b w:val="0"/>
          <w:sz w:val="30"/>
          <w:szCs w:val="30"/>
        </w:rPr>
        <w:t>》</w:t>
      </w:r>
      <w:bookmarkEnd w:id="5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6" w:name="_Toc2044"/>
      <w:r>
        <w:rPr>
          <w:rFonts w:hint="eastAsia" w:ascii="黑体" w:hAnsi="黑体" w:eastAsia="黑体"/>
          <w:b w:val="0"/>
          <w:sz w:val="30"/>
          <w:szCs w:val="30"/>
        </w:rPr>
        <w:t>四、</w:t>
      </w:r>
      <w:r>
        <w:rPr>
          <w:rFonts w:ascii="黑体" w:hAnsi="黑体" w:eastAsia="黑体"/>
          <w:b w:val="0"/>
          <w:sz w:val="30"/>
          <w:szCs w:val="30"/>
        </w:rPr>
        <w:t>《支出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6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7" w:name="_Toc25856"/>
      <w:r>
        <w:rPr>
          <w:rFonts w:ascii="黑体" w:hAnsi="黑体" w:eastAsia="黑体"/>
          <w:b w:val="0"/>
          <w:sz w:val="30"/>
          <w:szCs w:val="30"/>
        </w:rPr>
        <w:t>五</w:t>
      </w:r>
      <w:r>
        <w:rPr>
          <w:rFonts w:hint="eastAsia" w:ascii="黑体" w:hAnsi="黑体" w:eastAsia="黑体"/>
          <w:b w:val="0"/>
          <w:sz w:val="30"/>
          <w:szCs w:val="30"/>
        </w:rPr>
        <w:t>、</w:t>
      </w:r>
      <w:r>
        <w:rPr>
          <w:rFonts w:ascii="黑体" w:hAnsi="黑体" w:eastAsia="黑体"/>
          <w:b w:val="0"/>
          <w:sz w:val="30"/>
          <w:szCs w:val="30"/>
        </w:rPr>
        <w:t>《财政拨款</w:t>
      </w:r>
      <w:r>
        <w:rPr>
          <w:rFonts w:hint="eastAsia" w:ascii="黑体" w:hAnsi="黑体" w:eastAsia="黑体"/>
          <w:b w:val="0"/>
          <w:sz w:val="30"/>
          <w:szCs w:val="30"/>
        </w:rPr>
        <w:t>收入</w:t>
      </w:r>
      <w:r>
        <w:rPr>
          <w:rFonts w:ascii="黑体" w:hAnsi="黑体" w:eastAsia="黑体"/>
          <w:b w:val="0"/>
          <w:sz w:val="30"/>
          <w:szCs w:val="30"/>
        </w:rPr>
        <w:t>支出</w:t>
      </w:r>
      <w:r>
        <w:rPr>
          <w:rFonts w:hint="eastAsia" w:ascii="黑体" w:hAnsi="黑体" w:eastAsia="黑体"/>
          <w:b w:val="0"/>
          <w:sz w:val="30"/>
          <w:szCs w:val="30"/>
        </w:rPr>
        <w:t>决算总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7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8" w:name="_Toc3929"/>
      <w:r>
        <w:rPr>
          <w:rFonts w:ascii="黑体" w:hAnsi="黑体" w:eastAsia="黑体"/>
          <w:b w:val="0"/>
          <w:sz w:val="30"/>
          <w:szCs w:val="30"/>
        </w:rPr>
        <w:t>六</w:t>
      </w:r>
      <w:r>
        <w:rPr>
          <w:rFonts w:hint="eastAsia" w:ascii="黑体" w:hAnsi="黑体" w:eastAsia="黑体"/>
          <w:b w:val="0"/>
          <w:sz w:val="30"/>
          <w:szCs w:val="30"/>
        </w:rPr>
        <w:t>、</w:t>
      </w:r>
      <w:r>
        <w:rPr>
          <w:rFonts w:ascii="黑体" w:hAnsi="黑体" w:eastAsia="黑体"/>
          <w:b w:val="0"/>
          <w:sz w:val="30"/>
          <w:szCs w:val="30"/>
        </w:rPr>
        <w:t>《一般公共预算财政拨款支出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8"/>
    </w:p>
    <w:p>
      <w:pPr>
        <w:pStyle w:val="3"/>
        <w:spacing w:before="0" w:after="0" w:line="8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9" w:name="_Toc7568"/>
      <w:r>
        <w:rPr>
          <w:rFonts w:ascii="黑体" w:hAnsi="黑体" w:eastAsia="黑体"/>
          <w:b w:val="0"/>
          <w:sz w:val="30"/>
          <w:szCs w:val="30"/>
        </w:rPr>
        <w:t>七</w:t>
      </w:r>
      <w:r>
        <w:rPr>
          <w:rFonts w:hint="eastAsia" w:ascii="黑体" w:hAnsi="黑体" w:eastAsia="黑体"/>
          <w:b w:val="0"/>
          <w:sz w:val="30"/>
          <w:szCs w:val="30"/>
        </w:rPr>
        <w:t>、</w:t>
      </w:r>
      <w:r>
        <w:rPr>
          <w:rFonts w:ascii="黑体" w:hAnsi="黑体" w:eastAsia="黑体"/>
          <w:b w:val="0"/>
          <w:sz w:val="30"/>
          <w:szCs w:val="30"/>
        </w:rPr>
        <w:t>《一般公共预算财政拨款基本支出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9"/>
    </w:p>
    <w:p>
      <w:pPr>
        <w:pStyle w:val="3"/>
        <w:spacing w:before="0" w:after="0" w:line="8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10" w:name="_Toc5853"/>
      <w:r>
        <w:rPr>
          <w:rFonts w:hint="eastAsia" w:ascii="黑体" w:hAnsi="黑体" w:eastAsia="黑体"/>
          <w:b w:val="0"/>
          <w:sz w:val="30"/>
          <w:szCs w:val="30"/>
        </w:rPr>
        <w:t>八、</w:t>
      </w:r>
      <w:r>
        <w:rPr>
          <w:rFonts w:ascii="黑体" w:hAnsi="黑体" w:eastAsia="黑体"/>
          <w:b w:val="0"/>
          <w:sz w:val="30"/>
          <w:szCs w:val="30"/>
        </w:rPr>
        <w:t>《一般公共预算财政拨款</w:t>
      </w:r>
      <w:r>
        <w:rPr>
          <w:rFonts w:hint="eastAsia" w:ascii="黑体" w:hAnsi="黑体" w:eastAsia="黑体"/>
          <w:b w:val="0"/>
          <w:sz w:val="30"/>
          <w:szCs w:val="30"/>
        </w:rPr>
        <w:t>项目</w:t>
      </w:r>
      <w:r>
        <w:rPr>
          <w:rFonts w:ascii="黑体" w:hAnsi="黑体" w:eastAsia="黑体"/>
          <w:b w:val="0"/>
          <w:sz w:val="30"/>
          <w:szCs w:val="30"/>
        </w:rPr>
        <w:t>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10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11" w:name="_Toc7181"/>
      <w:r>
        <w:rPr>
          <w:rFonts w:hint="eastAsia" w:ascii="黑体" w:hAnsi="黑体" w:eastAsia="黑体"/>
          <w:b w:val="0"/>
          <w:sz w:val="30"/>
          <w:szCs w:val="30"/>
        </w:rPr>
        <w:t>九、</w:t>
      </w:r>
      <w:r>
        <w:rPr>
          <w:rFonts w:ascii="黑体" w:hAnsi="黑体" w:eastAsia="黑体"/>
          <w:b w:val="0"/>
          <w:sz w:val="30"/>
          <w:szCs w:val="30"/>
        </w:rPr>
        <w:t>《一般公共预算财政拨款“三公”经费支出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11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12" w:name="_Toc25187"/>
      <w:r>
        <w:rPr>
          <w:rFonts w:hint="eastAsia" w:ascii="黑体" w:hAnsi="黑体" w:eastAsia="黑体"/>
          <w:b w:val="0"/>
          <w:sz w:val="30"/>
          <w:szCs w:val="30"/>
        </w:rPr>
        <w:t>十、</w:t>
      </w:r>
      <w:r>
        <w:rPr>
          <w:rFonts w:ascii="黑体" w:hAnsi="黑体" w:eastAsia="黑体"/>
          <w:b w:val="0"/>
          <w:sz w:val="30"/>
          <w:szCs w:val="30"/>
        </w:rPr>
        <w:t>《政府性基金预算财政拨款</w:t>
      </w:r>
      <w:r>
        <w:rPr>
          <w:rFonts w:hint="eastAsia" w:ascii="黑体" w:hAnsi="黑体" w:eastAsia="黑体"/>
          <w:b w:val="0"/>
          <w:sz w:val="30"/>
          <w:szCs w:val="30"/>
        </w:rPr>
        <w:t>收入</w:t>
      </w:r>
      <w:r>
        <w:rPr>
          <w:rFonts w:ascii="黑体" w:hAnsi="黑体" w:eastAsia="黑体"/>
          <w:b w:val="0"/>
          <w:sz w:val="30"/>
          <w:szCs w:val="30"/>
        </w:rPr>
        <w:t>支出</w:t>
      </w:r>
      <w:r>
        <w:rPr>
          <w:rFonts w:hint="eastAsia" w:ascii="黑体" w:hAnsi="黑体" w:eastAsia="黑体"/>
          <w:b w:val="0"/>
          <w:sz w:val="30"/>
          <w:szCs w:val="30"/>
        </w:rPr>
        <w:t>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12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13" w:name="_Toc21022"/>
      <w:r>
        <w:rPr>
          <w:rFonts w:ascii="黑体" w:hAnsi="黑体" w:eastAsia="黑体"/>
          <w:b w:val="0"/>
          <w:sz w:val="30"/>
          <w:szCs w:val="30"/>
        </w:rPr>
        <w:t>十</w:t>
      </w:r>
      <w:r>
        <w:rPr>
          <w:rFonts w:hint="eastAsia" w:ascii="黑体" w:hAnsi="黑体" w:eastAsia="黑体"/>
          <w:b w:val="0"/>
          <w:sz w:val="30"/>
          <w:szCs w:val="30"/>
        </w:rPr>
        <w:t>一、</w:t>
      </w:r>
      <w:r>
        <w:rPr>
          <w:rFonts w:ascii="黑体" w:hAnsi="黑体" w:eastAsia="黑体"/>
          <w:b w:val="0"/>
          <w:sz w:val="30"/>
          <w:szCs w:val="30"/>
        </w:rPr>
        <w:t>《国有资本经营预算财政拨款</w:t>
      </w:r>
      <w:r>
        <w:rPr>
          <w:rFonts w:hint="eastAsia" w:ascii="黑体" w:hAnsi="黑体" w:eastAsia="黑体"/>
          <w:b w:val="0"/>
          <w:sz w:val="30"/>
          <w:szCs w:val="30"/>
        </w:rPr>
        <w:t>收入支出决算</w:t>
      </w:r>
      <w:r>
        <w:rPr>
          <w:rFonts w:ascii="黑体" w:hAnsi="黑体" w:eastAsia="黑体"/>
          <w:b w:val="0"/>
          <w:sz w:val="30"/>
          <w:szCs w:val="30"/>
        </w:rPr>
        <w:t>表》</w:t>
      </w:r>
      <w:bookmarkEnd w:id="13"/>
    </w:p>
    <w:p>
      <w:pPr>
        <w:pStyle w:val="3"/>
        <w:spacing w:before="0" w:after="0" w:line="8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14" w:name="_Toc11621"/>
      <w:r>
        <w:rPr>
          <w:rFonts w:ascii="黑体" w:hAnsi="黑体" w:eastAsia="黑体"/>
          <w:b w:val="0"/>
          <w:sz w:val="30"/>
          <w:szCs w:val="30"/>
        </w:rPr>
        <w:t>十</w:t>
      </w:r>
      <w:r>
        <w:rPr>
          <w:rFonts w:hint="eastAsia" w:ascii="黑体" w:hAnsi="黑体" w:eastAsia="黑体"/>
          <w:b w:val="0"/>
          <w:sz w:val="30"/>
          <w:szCs w:val="30"/>
        </w:rPr>
        <w:t>二、</w:t>
      </w:r>
      <w:r>
        <w:rPr>
          <w:rFonts w:ascii="黑体" w:hAnsi="黑体" w:eastAsia="黑体"/>
          <w:b w:val="0"/>
          <w:sz w:val="30"/>
          <w:szCs w:val="30"/>
        </w:rPr>
        <w:t>《项目支出决算表》</w:t>
      </w:r>
      <w:bookmarkEnd w:id="14"/>
    </w:p>
    <w:p>
      <w:pPr>
        <w:spacing w:line="800" w:lineRule="exact"/>
        <w:rPr>
          <w:rFonts w:hint="eastAsia"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注：以上决算公开表均作为附表，附于决算公开说明文档后。</w:t>
      </w:r>
    </w:p>
    <w:p>
      <w:pPr>
        <w:pStyle w:val="3"/>
        <w:spacing w:before="0" w:after="0" w:line="640" w:lineRule="exact"/>
        <w:ind w:firstLine="643" w:firstLineChars="200"/>
        <w:rPr>
          <w:rFonts w:hint="eastAsia" w:ascii="黑体" w:hAnsi="黑体" w:eastAsia="黑体"/>
          <w:b w:val="0"/>
          <w:sz w:val="30"/>
          <w:szCs w:val="30"/>
        </w:rPr>
      </w:pPr>
      <w:r>
        <w:br w:type="page"/>
      </w:r>
      <w:bookmarkStart w:id="15" w:name="_Toc1045"/>
      <w:r>
        <w:rPr>
          <w:rFonts w:hint="eastAsia" w:ascii="黑体" w:hAnsi="黑体" w:eastAsia="黑体"/>
          <w:b w:val="0"/>
          <w:sz w:val="30"/>
          <w:szCs w:val="30"/>
        </w:rPr>
        <w:t>十三、关于空表的说明</w:t>
      </w:r>
      <w:bookmarkEnd w:id="15"/>
    </w:p>
    <w:p>
      <w:pPr>
        <w:spacing w:line="640" w:lineRule="exact"/>
        <w:ind w:firstLine="600"/>
        <w:rPr>
          <w:rFonts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1</w:t>
      </w:r>
      <w:r>
        <w:rPr>
          <w:rFonts w:eastAsia="楷体"/>
          <w:sz w:val="30"/>
          <w:szCs w:val="30"/>
        </w:rPr>
        <w:t>.</w:t>
      </w:r>
      <w:r>
        <w:rPr>
          <w:rFonts w:hint="eastAsia" w:eastAsia="楷体"/>
          <w:sz w:val="30"/>
          <w:szCs w:val="30"/>
        </w:rPr>
        <w:t xml:space="preserve"> “</w:t>
      </w:r>
      <w:r>
        <w:rPr>
          <w:rFonts w:hint="eastAsia" w:eastAsia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”2021</w:t>
      </w:r>
      <w:r>
        <w:rPr>
          <w:rFonts w:eastAsia="楷体"/>
          <w:sz w:val="30"/>
          <w:szCs w:val="30"/>
        </w:rPr>
        <w:t>年度</w:t>
      </w:r>
      <w:r>
        <w:rPr>
          <w:rFonts w:hint="eastAsia" w:eastAsia="楷体"/>
          <w:sz w:val="30"/>
          <w:szCs w:val="30"/>
        </w:rPr>
        <w:t>一般公共预算“三公”经费支出情况表为空表。</w:t>
      </w:r>
    </w:p>
    <w:p>
      <w:pPr>
        <w:spacing w:line="640" w:lineRule="exact"/>
        <w:ind w:firstLine="600"/>
        <w:rPr>
          <w:rFonts w:hint="eastAsia" w:eastAsia="楷体"/>
          <w:sz w:val="30"/>
          <w:szCs w:val="30"/>
        </w:rPr>
      </w:pPr>
      <w:r>
        <w:rPr>
          <w:rFonts w:eastAsia="楷体"/>
          <w:sz w:val="30"/>
          <w:szCs w:val="30"/>
        </w:rPr>
        <w:t>2</w:t>
      </w:r>
      <w:r>
        <w:rPr>
          <w:rFonts w:hint="eastAsia" w:eastAsia="楷体"/>
          <w:sz w:val="30"/>
          <w:szCs w:val="30"/>
        </w:rPr>
        <w:t>.“</w:t>
      </w:r>
      <w:r>
        <w:rPr>
          <w:rFonts w:hint="eastAsia" w:eastAsia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”2021</w:t>
      </w:r>
      <w:r>
        <w:rPr>
          <w:rFonts w:eastAsia="楷体"/>
          <w:sz w:val="30"/>
          <w:szCs w:val="30"/>
        </w:rPr>
        <w:t>年度</w:t>
      </w:r>
      <w:r>
        <w:rPr>
          <w:rFonts w:hint="eastAsia" w:eastAsia="楷体"/>
          <w:sz w:val="30"/>
          <w:szCs w:val="30"/>
        </w:rPr>
        <w:t>政府性基金预算财政拨款收入支出决算表为空表。</w:t>
      </w:r>
    </w:p>
    <w:p>
      <w:pPr>
        <w:spacing w:line="640" w:lineRule="exact"/>
        <w:ind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3</w:t>
      </w:r>
      <w:r>
        <w:rPr>
          <w:rFonts w:hint="eastAsia" w:eastAsia="楷体"/>
          <w:sz w:val="30"/>
          <w:szCs w:val="30"/>
        </w:rPr>
        <w:t>.“</w:t>
      </w:r>
      <w:r>
        <w:rPr>
          <w:rFonts w:hint="eastAsia" w:eastAsia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”2021</w:t>
      </w:r>
      <w:r>
        <w:rPr>
          <w:rFonts w:eastAsia="楷体"/>
          <w:sz w:val="30"/>
          <w:szCs w:val="30"/>
        </w:rPr>
        <w:t>年度</w:t>
      </w:r>
      <w:r>
        <w:rPr>
          <w:rFonts w:hint="eastAsia" w:eastAsia="楷体"/>
          <w:sz w:val="30"/>
          <w:szCs w:val="30"/>
        </w:rPr>
        <w:t>国有资本经营预算财政拨款收入支出决算表为空表。</w:t>
      </w:r>
    </w:p>
    <w:p>
      <w:pPr>
        <w:spacing w:line="640" w:lineRule="exact"/>
        <w:ind w:firstLine="600"/>
        <w:rPr>
          <w:rFonts w:hint="eastAsia"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4</w:t>
      </w:r>
      <w:r>
        <w:rPr>
          <w:rFonts w:eastAsia="楷体"/>
          <w:sz w:val="30"/>
          <w:szCs w:val="30"/>
        </w:rPr>
        <w:t>.</w:t>
      </w:r>
      <w:r>
        <w:rPr>
          <w:rFonts w:hint="eastAsia"/>
        </w:rPr>
        <w:t xml:space="preserve"> </w:t>
      </w:r>
      <w:r>
        <w:rPr>
          <w:rFonts w:hint="eastAsia" w:eastAsia="楷体"/>
          <w:sz w:val="30"/>
          <w:szCs w:val="30"/>
        </w:rPr>
        <w:t>“</w:t>
      </w:r>
      <w:r>
        <w:rPr>
          <w:rFonts w:hint="eastAsia" w:eastAsia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”2021</w:t>
      </w:r>
      <w:r>
        <w:rPr>
          <w:rFonts w:eastAsia="楷体"/>
          <w:sz w:val="30"/>
          <w:szCs w:val="30"/>
        </w:rPr>
        <w:t>年度</w:t>
      </w:r>
      <w:r>
        <w:rPr>
          <w:rFonts w:hint="eastAsia" w:eastAsia="楷体"/>
          <w:sz w:val="30"/>
          <w:szCs w:val="30"/>
        </w:rPr>
        <w:t>项目支出表为空表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</w:rPr>
      </w:pPr>
      <w:bookmarkStart w:id="16" w:name="_Toc20137"/>
      <w:r>
        <w:rPr>
          <w:rFonts w:ascii="方正小标宋简体" w:hAnsi="方正小标宋简体" w:eastAsia="方正小标宋简体" w:cs="方正小标宋简体"/>
          <w:b w:val="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</w:rPr>
        <w:t>三</w:t>
      </w:r>
      <w:r>
        <w:rPr>
          <w:rFonts w:ascii="方正小标宋简体" w:hAnsi="方正小标宋简体" w:eastAsia="方正小标宋简体" w:cs="方正小标宋简体"/>
          <w:b w:val="0"/>
        </w:rPr>
        <w:t xml:space="preserve">部分  </w:t>
      </w:r>
      <w:r>
        <w:rPr>
          <w:rFonts w:hint="eastAsia" w:ascii="方正小标宋简体" w:hAnsi="方正小标宋简体" w:eastAsia="方正小标宋简体" w:cs="方正小标宋简体"/>
          <w:b w:val="0"/>
        </w:rPr>
        <w:t>2021</w:t>
      </w:r>
      <w:r>
        <w:rPr>
          <w:rFonts w:ascii="方正小标宋简体" w:hAnsi="方正小标宋简体" w:eastAsia="方正小标宋简体" w:cs="方正小标宋简体"/>
          <w:b w:val="0"/>
        </w:rPr>
        <w:t>年度部门决算</w:t>
      </w:r>
      <w:r>
        <w:rPr>
          <w:rFonts w:hint="eastAsia" w:ascii="方正小标宋简体" w:hAnsi="方正小标宋简体" w:eastAsia="方正小标宋简体" w:cs="方正小标宋简体"/>
          <w:b w:val="0"/>
        </w:rPr>
        <w:t>情况</w:t>
      </w:r>
      <w:r>
        <w:rPr>
          <w:rFonts w:ascii="方正小标宋简体" w:hAnsi="方正小标宋简体" w:eastAsia="方正小标宋简体" w:cs="方正小标宋简体"/>
          <w:b w:val="0"/>
        </w:rPr>
        <w:t>说明</w:t>
      </w:r>
      <w:bookmarkEnd w:id="16"/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17" w:name="_Toc10868"/>
      <w:r>
        <w:rPr>
          <w:rFonts w:hint="eastAsia" w:ascii="黑体" w:hAnsi="黑体" w:eastAsia="黑体"/>
          <w:b w:val="0"/>
          <w:sz w:val="30"/>
          <w:szCs w:val="30"/>
        </w:rPr>
        <w:t>一、收入支出决算总体情况</w:t>
      </w:r>
      <w:bookmarkEnd w:id="17"/>
      <w:r>
        <w:rPr>
          <w:rFonts w:hint="eastAsia" w:ascii="黑体" w:hAnsi="黑体" w:eastAsia="黑体"/>
          <w:b w:val="0"/>
          <w:sz w:val="30"/>
          <w:szCs w:val="30"/>
        </w:rPr>
        <w:t>说明</w:t>
      </w:r>
    </w:p>
    <w:p>
      <w:pPr>
        <w:spacing w:line="600" w:lineRule="exact"/>
        <w:rPr>
          <w:rFonts w:hint="eastAsia" w:eastAsia="楷体_GB2312"/>
          <w:b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年度收入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hint="eastAsia" w:eastAsia="仿宋_GB2312"/>
          <w:sz w:val="30"/>
          <w:szCs w:val="30"/>
        </w:rPr>
        <w:t>元、支出决算</w:t>
      </w:r>
      <w:r>
        <w:rPr>
          <w:rFonts w:eastAsia="仿宋_GB2312"/>
          <w:sz w:val="30"/>
          <w:szCs w:val="30"/>
        </w:rPr>
        <w:t>总计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与</w:t>
      </w:r>
      <w:r>
        <w:rPr>
          <w:rFonts w:hint="eastAsia" w:eastAsia="仿宋_GB2312"/>
          <w:sz w:val="30"/>
          <w:szCs w:val="30"/>
        </w:rPr>
        <w:t>2020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度相比，收入减少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hint="eastAsia" w:eastAsia="仿宋_GB2312"/>
          <w:sz w:val="30"/>
          <w:szCs w:val="30"/>
        </w:rPr>
        <w:t>元、支出减少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，收入减少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93</w:t>
      </w:r>
      <w:r>
        <w:rPr>
          <w:rFonts w:hint="eastAsia" w:eastAsia="仿宋_GB2312"/>
          <w:sz w:val="30"/>
          <w:szCs w:val="30"/>
        </w:rPr>
        <w:t>%，支出减少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93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%，主要原因是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 w:cs="仿宋_GB2312"/>
          <w:b w:val="0"/>
          <w:sz w:val="30"/>
          <w:szCs w:val="30"/>
        </w:rPr>
      </w:pPr>
      <w:bookmarkStart w:id="18" w:name="_Toc11824"/>
      <w:r>
        <w:rPr>
          <w:rFonts w:hint="eastAsia" w:ascii="黑体" w:hAnsi="黑体" w:eastAsia="黑体" w:cs="仿宋_GB2312"/>
          <w:b w:val="0"/>
          <w:sz w:val="30"/>
          <w:szCs w:val="30"/>
        </w:rPr>
        <w:t>二、收入决算情况</w:t>
      </w:r>
      <w:bookmarkEnd w:id="18"/>
      <w:r>
        <w:rPr>
          <w:rFonts w:hint="eastAsia" w:ascii="黑体" w:hAnsi="黑体" w:eastAsia="黑体" w:cs="仿宋_GB2312"/>
          <w:b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</w:t>
      </w:r>
      <w:r>
        <w:rPr>
          <w:rFonts w:hint="eastAsia" w:eastAsia="仿宋_GB2312"/>
          <w:sz w:val="30"/>
          <w:szCs w:val="30"/>
        </w:rPr>
        <w:t>本年</w:t>
      </w:r>
      <w:r>
        <w:rPr>
          <w:rFonts w:eastAsia="仿宋_GB2312"/>
          <w:sz w:val="30"/>
          <w:szCs w:val="30"/>
        </w:rPr>
        <w:t>收入</w:t>
      </w:r>
      <w:r>
        <w:rPr>
          <w:rFonts w:hint="eastAsia" w:eastAsia="仿宋_GB2312"/>
          <w:sz w:val="30"/>
          <w:szCs w:val="30"/>
        </w:rPr>
        <w:t>合</w:t>
      </w:r>
      <w:r>
        <w:rPr>
          <w:rFonts w:eastAsia="仿宋_GB2312"/>
          <w:sz w:val="30"/>
          <w:szCs w:val="30"/>
        </w:rPr>
        <w:t>计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与2020年度相比减少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320000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其中：一般公共预算财政拨款收入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100  </w:t>
      </w:r>
      <w:r>
        <w:rPr>
          <w:rFonts w:eastAsia="仿宋_GB2312"/>
          <w:sz w:val="30"/>
          <w:szCs w:val="30"/>
        </w:rPr>
        <w:t>%；政府性基金预算财政拨款收入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%；国有资本经营预算财政拨款收入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%；</w:t>
      </w:r>
      <w:r>
        <w:rPr>
          <w:rFonts w:hint="eastAsia" w:eastAsia="仿宋_GB2312"/>
          <w:sz w:val="30"/>
          <w:szCs w:val="30"/>
        </w:rPr>
        <w:t>财政专户管理资金收入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%；事业收入</w:t>
      </w:r>
      <w:r>
        <w:rPr>
          <w:rFonts w:eastAsia="仿宋_GB2312"/>
          <w:sz w:val="30"/>
          <w:szCs w:val="30"/>
          <w:u w:val="single"/>
        </w:rPr>
        <w:t xml:space="preserve"> 0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0   </w:t>
      </w:r>
      <w:r>
        <w:rPr>
          <w:rFonts w:eastAsia="仿宋_GB2312"/>
          <w:sz w:val="30"/>
          <w:szCs w:val="30"/>
        </w:rPr>
        <w:t>%；</w:t>
      </w:r>
      <w:r>
        <w:rPr>
          <w:rFonts w:hint="eastAsia" w:eastAsia="仿宋_GB2312"/>
          <w:sz w:val="30"/>
          <w:szCs w:val="30"/>
        </w:rPr>
        <w:t>事业单位</w:t>
      </w:r>
      <w:r>
        <w:rPr>
          <w:rFonts w:eastAsia="仿宋_GB2312"/>
          <w:sz w:val="30"/>
          <w:szCs w:val="30"/>
        </w:rPr>
        <w:t>经营收入</w:t>
      </w:r>
      <w:r>
        <w:rPr>
          <w:rFonts w:eastAsia="仿宋_GB2312"/>
          <w:sz w:val="30"/>
          <w:szCs w:val="30"/>
          <w:u w:val="single"/>
        </w:rPr>
        <w:t xml:space="preserve">0  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0 </w:t>
      </w:r>
      <w:r>
        <w:rPr>
          <w:rFonts w:eastAsia="仿宋_GB2312"/>
          <w:sz w:val="30"/>
          <w:szCs w:val="30"/>
        </w:rPr>
        <w:t>%；上级补助收入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%；附属单位上缴收入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%；其他收入</w:t>
      </w:r>
      <w:r>
        <w:rPr>
          <w:rFonts w:eastAsia="仿宋_GB2312"/>
          <w:sz w:val="30"/>
          <w:szCs w:val="30"/>
          <w:u w:val="single"/>
        </w:rPr>
        <w:t xml:space="preserve"> 0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0  </w:t>
      </w:r>
      <w:r>
        <w:rPr>
          <w:rFonts w:eastAsia="仿宋_GB2312"/>
          <w:sz w:val="30"/>
          <w:szCs w:val="30"/>
        </w:rPr>
        <w:t>%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 w:cs="仿宋_GB2312"/>
          <w:b w:val="0"/>
          <w:sz w:val="30"/>
          <w:szCs w:val="30"/>
        </w:rPr>
      </w:pPr>
      <w:bookmarkStart w:id="19" w:name="_Toc16536"/>
      <w:r>
        <w:rPr>
          <w:rFonts w:hint="eastAsia" w:ascii="黑体" w:hAnsi="黑体" w:eastAsia="黑体" w:cs="仿宋_GB2312"/>
          <w:b w:val="0"/>
          <w:sz w:val="30"/>
          <w:szCs w:val="30"/>
        </w:rPr>
        <w:t>三、</w:t>
      </w:r>
      <w:r>
        <w:rPr>
          <w:rFonts w:ascii="黑体" w:hAnsi="黑体" w:eastAsia="黑体" w:cs="仿宋_GB2312"/>
          <w:b w:val="0"/>
          <w:sz w:val="30"/>
          <w:szCs w:val="30"/>
        </w:rPr>
        <w:t>支出</w:t>
      </w:r>
      <w:r>
        <w:rPr>
          <w:rFonts w:hint="eastAsia" w:ascii="黑体" w:hAnsi="黑体" w:eastAsia="黑体" w:cs="仿宋_GB2312"/>
          <w:b w:val="0"/>
          <w:sz w:val="30"/>
          <w:szCs w:val="30"/>
        </w:rPr>
        <w:t>决算</w:t>
      </w:r>
      <w:r>
        <w:rPr>
          <w:rFonts w:ascii="黑体" w:hAnsi="黑体" w:eastAsia="黑体" w:cs="仿宋_GB2312"/>
          <w:b w:val="0"/>
          <w:sz w:val="30"/>
          <w:szCs w:val="30"/>
        </w:rPr>
        <w:t>情况</w:t>
      </w:r>
      <w:bookmarkEnd w:id="19"/>
      <w:r>
        <w:rPr>
          <w:rFonts w:hint="eastAsia" w:ascii="黑体" w:hAnsi="黑体" w:eastAsia="黑体" w:cs="仿宋_GB2312"/>
          <w:b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eastAsia="仿宋_GB2312"/>
          <w:sz w:val="30"/>
          <w:szCs w:val="30"/>
        </w:rPr>
        <w:t>年度</w:t>
      </w:r>
      <w:r>
        <w:rPr>
          <w:rFonts w:hint="eastAsia" w:eastAsia="仿宋_GB2312"/>
          <w:sz w:val="30"/>
          <w:szCs w:val="30"/>
        </w:rPr>
        <w:t>本年</w:t>
      </w:r>
      <w:r>
        <w:rPr>
          <w:rFonts w:eastAsia="仿宋_GB2312"/>
          <w:sz w:val="30"/>
          <w:szCs w:val="30"/>
        </w:rPr>
        <w:t>支出</w:t>
      </w:r>
      <w:r>
        <w:rPr>
          <w:rFonts w:hint="eastAsia" w:eastAsia="仿宋_GB2312"/>
          <w:sz w:val="30"/>
          <w:szCs w:val="30"/>
        </w:rPr>
        <w:t>合计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与2020年度相比减少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，主要原因是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其中：基本支出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100  </w:t>
      </w:r>
      <w:r>
        <w:rPr>
          <w:rFonts w:eastAsia="仿宋_GB2312"/>
          <w:sz w:val="30"/>
          <w:szCs w:val="30"/>
        </w:rPr>
        <w:t>%；项目支出</w:t>
      </w:r>
      <w:r>
        <w:rPr>
          <w:rFonts w:eastAsia="仿宋_GB2312"/>
          <w:sz w:val="30"/>
          <w:szCs w:val="30"/>
          <w:u w:val="single"/>
        </w:rPr>
        <w:t xml:space="preserve"> 0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0   </w:t>
      </w:r>
      <w:r>
        <w:rPr>
          <w:rFonts w:eastAsia="仿宋_GB2312"/>
          <w:sz w:val="30"/>
          <w:szCs w:val="30"/>
        </w:rPr>
        <w:t>%；上缴上级支出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%；经营支出</w:t>
      </w:r>
      <w:r>
        <w:rPr>
          <w:rFonts w:eastAsia="仿宋_GB2312"/>
          <w:sz w:val="30"/>
          <w:szCs w:val="30"/>
          <w:u w:val="single"/>
        </w:rPr>
        <w:t xml:space="preserve">  0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%；对附属单位补助支出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%。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20" w:name="_Toc18362"/>
      <w:r>
        <w:rPr>
          <w:rFonts w:hint="eastAsia" w:ascii="黑体" w:hAnsi="黑体" w:eastAsia="黑体"/>
          <w:b w:val="0"/>
          <w:sz w:val="30"/>
          <w:szCs w:val="30"/>
        </w:rPr>
        <w:t>四、财政拨款收支决算总体情况</w:t>
      </w:r>
      <w:bookmarkEnd w:id="20"/>
      <w:r>
        <w:rPr>
          <w:rFonts w:hint="eastAsia" w:ascii="黑体" w:hAnsi="黑体" w:eastAsia="黑体"/>
          <w:b w:val="0"/>
          <w:sz w:val="30"/>
          <w:szCs w:val="30"/>
        </w:rPr>
        <w:t>说明</w:t>
      </w:r>
    </w:p>
    <w:p>
      <w:pPr>
        <w:spacing w:line="600" w:lineRule="exact"/>
        <w:rPr>
          <w:rFonts w:hint="eastAsia" w:eastAsia="楷体_GB2312"/>
          <w:b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</w:t>
      </w:r>
      <w:r>
        <w:rPr>
          <w:rFonts w:hint="eastAsia" w:eastAsia="仿宋_GB2312"/>
          <w:sz w:val="30"/>
          <w:szCs w:val="30"/>
        </w:rPr>
        <w:t>财政拨款</w:t>
      </w:r>
      <w:r>
        <w:rPr>
          <w:rFonts w:eastAsia="仿宋_GB2312"/>
          <w:sz w:val="30"/>
          <w:szCs w:val="30"/>
        </w:rPr>
        <w:t>收入</w:t>
      </w:r>
      <w:r>
        <w:rPr>
          <w:rFonts w:hint="eastAsia" w:eastAsia="仿宋_GB2312"/>
          <w:sz w:val="30"/>
          <w:szCs w:val="30"/>
        </w:rPr>
        <w:t>、支出决算</w:t>
      </w:r>
      <w:r>
        <w:rPr>
          <w:rFonts w:eastAsia="仿宋_GB2312"/>
          <w:sz w:val="30"/>
          <w:szCs w:val="30"/>
        </w:rPr>
        <w:t>总计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与</w:t>
      </w:r>
      <w:r>
        <w:rPr>
          <w:rFonts w:hint="eastAsia" w:eastAsia="仿宋_GB2312"/>
          <w:sz w:val="30"/>
          <w:szCs w:val="30"/>
        </w:rPr>
        <w:t>2020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度相比，财政拨款收、支总计各</w:t>
      </w:r>
      <w:r>
        <w:rPr>
          <w:rFonts w:eastAsia="仿宋_GB2312"/>
          <w:sz w:val="30"/>
          <w:szCs w:val="30"/>
        </w:rPr>
        <w:t>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，减少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93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%，主要原因是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21" w:name="_Toc29106"/>
      <w:r>
        <w:rPr>
          <w:rFonts w:ascii="黑体" w:hAnsi="黑体" w:eastAsia="黑体"/>
          <w:b w:val="0"/>
          <w:sz w:val="30"/>
          <w:szCs w:val="30"/>
        </w:rPr>
        <w:t>五</w:t>
      </w:r>
      <w:r>
        <w:rPr>
          <w:rFonts w:hint="eastAsia" w:ascii="黑体" w:hAnsi="黑体" w:eastAsia="黑体"/>
          <w:b w:val="0"/>
          <w:sz w:val="30"/>
          <w:szCs w:val="30"/>
        </w:rPr>
        <w:t>、</w:t>
      </w:r>
      <w:r>
        <w:rPr>
          <w:rFonts w:ascii="黑体" w:hAnsi="黑体" w:eastAsia="黑体"/>
          <w:b w:val="0"/>
          <w:sz w:val="30"/>
          <w:szCs w:val="30"/>
        </w:rPr>
        <w:t>一般公共预算财政拨款支出决算情况</w:t>
      </w:r>
      <w:bookmarkEnd w:id="21"/>
      <w:r>
        <w:rPr>
          <w:rFonts w:hint="eastAsia" w:ascii="黑体" w:hAnsi="黑体" w:eastAsia="黑体"/>
          <w:b w:val="0"/>
          <w:sz w:val="30"/>
          <w:szCs w:val="30"/>
        </w:rPr>
        <w:t>说明</w:t>
      </w:r>
    </w:p>
    <w:p>
      <w:pPr>
        <w:spacing w:line="600" w:lineRule="exact"/>
        <w:ind w:left="480" w:leftChars="200"/>
        <w:rPr>
          <w:rFonts w:hint="eastAsia"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（一）总体情况</w:t>
      </w:r>
    </w:p>
    <w:p>
      <w:pPr>
        <w:spacing w:line="6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年度部门决算一般公共预算财政拨款支出</w:t>
      </w:r>
      <w:r>
        <w:rPr>
          <w:rFonts w:hint="eastAsia" w:eastAsia="仿宋_GB2312"/>
          <w:sz w:val="30"/>
          <w:szCs w:val="30"/>
        </w:rPr>
        <w:t>合</w:t>
      </w:r>
      <w:r>
        <w:rPr>
          <w:rFonts w:eastAsia="仿宋_GB2312"/>
          <w:sz w:val="30"/>
          <w:szCs w:val="30"/>
        </w:rPr>
        <w:t>计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占本年支出合计的</w:t>
      </w:r>
      <w:r>
        <w:rPr>
          <w:rFonts w:eastAsia="仿宋_GB2312"/>
          <w:sz w:val="30"/>
          <w:szCs w:val="30"/>
          <w:u w:val="single"/>
        </w:rPr>
        <w:t xml:space="preserve"> 100 </w:t>
      </w:r>
      <w:r>
        <w:rPr>
          <w:rFonts w:hint="eastAsia" w:eastAsia="仿宋_GB2312"/>
          <w:sz w:val="30"/>
          <w:szCs w:val="30"/>
        </w:rPr>
        <w:t>%。</w:t>
      </w:r>
      <w:r>
        <w:rPr>
          <w:rFonts w:eastAsia="仿宋_GB2312"/>
          <w:sz w:val="30"/>
          <w:szCs w:val="30"/>
        </w:rPr>
        <w:t>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度相比，一般公共预算财政拨款支出减少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  <w:lang w:eastAsia="zh-CN"/>
        </w:rPr>
        <w:t>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93 </w:t>
      </w:r>
      <w:r>
        <w:rPr>
          <w:rFonts w:hint="eastAsia" w:eastAsia="仿宋_GB2312"/>
          <w:sz w:val="30"/>
          <w:szCs w:val="30"/>
        </w:rPr>
        <w:t>%，主要原因是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hint="eastAsia"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（二）支出结构情况</w:t>
      </w:r>
    </w:p>
    <w:p>
      <w:pPr>
        <w:spacing w:line="6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2021年度一般公共预算财政拨款支出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主要用于以下方面：人员</w:t>
      </w:r>
      <w:r>
        <w:rPr>
          <w:rFonts w:eastAsia="仿宋_GB2312"/>
          <w:sz w:val="30"/>
          <w:szCs w:val="30"/>
        </w:rPr>
        <w:t>（类）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占</w:t>
      </w:r>
      <w:r>
        <w:rPr>
          <w:rFonts w:eastAsia="仿宋_GB2312"/>
          <w:sz w:val="30"/>
          <w:szCs w:val="30"/>
          <w:u w:val="single"/>
        </w:rPr>
        <w:t xml:space="preserve"> 100 </w:t>
      </w:r>
      <w:r>
        <w:rPr>
          <w:rFonts w:hint="eastAsia" w:eastAsia="仿宋_GB2312"/>
          <w:sz w:val="30"/>
          <w:szCs w:val="30"/>
        </w:rPr>
        <w:t>%，公用</w:t>
      </w:r>
      <w:r>
        <w:rPr>
          <w:rFonts w:eastAsia="仿宋_GB2312"/>
          <w:sz w:val="30"/>
          <w:szCs w:val="30"/>
        </w:rPr>
        <w:t>（类）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eastAsia="仿宋_GB2312"/>
          <w:sz w:val="30"/>
          <w:szCs w:val="30"/>
          <w:u w:val="single"/>
        </w:rPr>
        <w:t xml:space="preserve">  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占</w:t>
      </w:r>
      <w:r>
        <w:rPr>
          <w:rFonts w:eastAsia="仿宋_GB2312"/>
          <w:sz w:val="30"/>
          <w:szCs w:val="30"/>
          <w:u w:val="single"/>
        </w:rPr>
        <w:t xml:space="preserve">  0 </w:t>
      </w:r>
      <w:r>
        <w:rPr>
          <w:rFonts w:hint="eastAsia" w:eastAsia="仿宋_GB2312"/>
          <w:sz w:val="30"/>
          <w:szCs w:val="30"/>
        </w:rPr>
        <w:t>%项目</w:t>
      </w:r>
      <w:r>
        <w:rPr>
          <w:rFonts w:eastAsia="仿宋_GB2312"/>
          <w:sz w:val="30"/>
          <w:szCs w:val="30"/>
        </w:rPr>
        <w:t>（类）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eastAsia="仿宋_GB2312"/>
          <w:sz w:val="30"/>
          <w:szCs w:val="30"/>
          <w:u w:val="single"/>
        </w:rPr>
        <w:t xml:space="preserve"> 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占</w:t>
      </w:r>
      <w:r>
        <w:rPr>
          <w:rFonts w:eastAsia="仿宋_GB2312"/>
          <w:sz w:val="30"/>
          <w:szCs w:val="30"/>
          <w:u w:val="single"/>
        </w:rPr>
        <w:t xml:space="preserve"> 0 </w:t>
      </w:r>
      <w:r>
        <w:rPr>
          <w:rFonts w:hint="eastAsia" w:eastAsia="仿宋_GB2312"/>
          <w:sz w:val="30"/>
          <w:szCs w:val="30"/>
        </w:rPr>
        <w:t>%</w:t>
      </w:r>
    </w:p>
    <w:p>
      <w:pPr>
        <w:numPr>
          <w:ilvl w:val="0"/>
          <w:numId w:val="1"/>
        </w:numPr>
        <w:spacing w:line="600" w:lineRule="exact"/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ascii="楷体" w:hAnsi="楷体" w:eastAsia="楷体" w:cs="仿宋_GB2312"/>
          <w:b/>
          <w:sz w:val="30"/>
          <w:szCs w:val="30"/>
        </w:rPr>
        <w:t>具体情况</w:t>
      </w:r>
    </w:p>
    <w:p>
      <w:pPr>
        <w:spacing w:line="600" w:lineRule="exact"/>
        <w:ind w:firstLine="600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2021年度一般公共预算财政拨款支出年初预算为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支出决算为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完成年初预算的</w:t>
      </w:r>
      <w:r>
        <w:rPr>
          <w:rFonts w:eastAsia="仿宋_GB2312"/>
          <w:sz w:val="30"/>
          <w:szCs w:val="30"/>
          <w:u w:val="single"/>
        </w:rPr>
        <w:t xml:space="preserve">100 </w:t>
      </w:r>
      <w:r>
        <w:rPr>
          <w:rFonts w:hint="eastAsia" w:eastAsia="仿宋_GB2312"/>
          <w:sz w:val="30"/>
          <w:szCs w:val="30"/>
        </w:rPr>
        <w:t>%。</w:t>
      </w:r>
    </w:p>
    <w:p>
      <w:pPr>
        <w:spacing w:line="60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</w:t>
      </w:r>
    </w:p>
    <w:p>
      <w:pPr>
        <w:pStyle w:val="3"/>
        <w:spacing w:before="0" w:after="0" w:line="6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22" w:name="_Toc1636"/>
      <w:r>
        <w:rPr>
          <w:rFonts w:ascii="黑体" w:hAnsi="黑体" w:eastAsia="黑体"/>
          <w:b w:val="0"/>
          <w:sz w:val="30"/>
          <w:szCs w:val="30"/>
        </w:rPr>
        <w:t>六、一般公共预算财政拨款基本支出决算情况</w:t>
      </w:r>
      <w:bookmarkEnd w:id="22"/>
      <w:r>
        <w:rPr>
          <w:rFonts w:hint="eastAsia" w:ascii="黑体" w:hAnsi="黑体" w:eastAsia="黑体"/>
          <w:b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年度部门决算一般公共预算财政拨款基本支出</w:t>
      </w:r>
      <w:r>
        <w:rPr>
          <w:rFonts w:hint="eastAsia" w:eastAsia="仿宋_GB2312"/>
          <w:sz w:val="30"/>
          <w:szCs w:val="30"/>
        </w:rPr>
        <w:t>合计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与2020年度相比减少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320000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元</w:t>
      </w:r>
      <w:r>
        <w:rPr>
          <w:rFonts w:hint="eastAsia" w:eastAsia="仿宋_GB2312"/>
          <w:sz w:val="30"/>
          <w:szCs w:val="30"/>
        </w:rPr>
        <w:t>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退休人员工资由社险发放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sz w:val="30"/>
          <w:szCs w:val="30"/>
        </w:rPr>
        <w:t>。其中：人员经费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24000</w:t>
      </w:r>
      <w:r>
        <w:rPr>
          <w:rFonts w:eastAsia="仿宋_GB2312"/>
          <w:sz w:val="30"/>
          <w:szCs w:val="30"/>
        </w:rPr>
        <w:t>元，</w:t>
      </w:r>
      <w:r>
        <w:rPr>
          <w:rFonts w:hint="eastAsia" w:eastAsia="仿宋_GB2312"/>
          <w:sz w:val="30"/>
          <w:szCs w:val="30"/>
        </w:rPr>
        <w:t>主要包括离休费、退休费。</w:t>
      </w:r>
    </w:p>
    <w:p>
      <w:pPr>
        <w:pStyle w:val="3"/>
        <w:spacing w:before="0" w:after="0" w:line="6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23" w:name="_Toc24173"/>
      <w:r>
        <w:rPr>
          <w:rFonts w:hint="eastAsia" w:ascii="黑体" w:hAnsi="黑体" w:eastAsia="黑体"/>
          <w:b w:val="0"/>
          <w:sz w:val="30"/>
          <w:szCs w:val="30"/>
        </w:rPr>
        <w:t>七</w:t>
      </w:r>
      <w:r>
        <w:rPr>
          <w:rFonts w:ascii="黑体" w:hAnsi="黑体" w:eastAsia="黑体"/>
          <w:b w:val="0"/>
          <w:sz w:val="30"/>
          <w:szCs w:val="30"/>
        </w:rPr>
        <w:t>、一般公共预算财政拨款</w:t>
      </w:r>
      <w:r>
        <w:rPr>
          <w:rFonts w:hint="eastAsia" w:ascii="黑体" w:hAnsi="黑体" w:eastAsia="黑体"/>
          <w:b w:val="0"/>
          <w:sz w:val="30"/>
          <w:szCs w:val="30"/>
        </w:rPr>
        <w:t>项目</w:t>
      </w:r>
      <w:r>
        <w:rPr>
          <w:rFonts w:ascii="黑体" w:hAnsi="黑体" w:eastAsia="黑体"/>
          <w:b w:val="0"/>
          <w:sz w:val="30"/>
          <w:szCs w:val="30"/>
        </w:rPr>
        <w:t>支出决算情况</w:t>
      </w:r>
      <w:bookmarkEnd w:id="23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</w:t>
      </w:r>
      <w:r>
        <w:rPr>
          <w:rFonts w:hint="eastAsia" w:eastAsia="仿宋_GB2312"/>
          <w:sz w:val="30"/>
          <w:szCs w:val="30"/>
        </w:rPr>
        <w:t>无项目支出</w:t>
      </w:r>
      <w:r>
        <w:rPr>
          <w:rFonts w:eastAsia="仿宋_GB2312"/>
          <w:sz w:val="30"/>
          <w:szCs w:val="30"/>
        </w:rPr>
        <w:t>。</w:t>
      </w:r>
    </w:p>
    <w:p>
      <w:pPr>
        <w:pStyle w:val="3"/>
        <w:spacing w:before="0" w:after="0" w:line="6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24" w:name="_Toc27173"/>
      <w:r>
        <w:rPr>
          <w:rFonts w:hint="eastAsia" w:ascii="黑体" w:hAnsi="黑体" w:eastAsia="黑体"/>
          <w:b w:val="0"/>
          <w:sz w:val="30"/>
          <w:szCs w:val="30"/>
        </w:rPr>
        <w:t>八、</w:t>
      </w:r>
      <w:r>
        <w:rPr>
          <w:rFonts w:ascii="黑体" w:hAnsi="黑体" w:eastAsia="黑体"/>
          <w:b w:val="0"/>
          <w:sz w:val="30"/>
          <w:szCs w:val="30"/>
        </w:rPr>
        <w:t>一般公共预算财政拨款“三公”经费</w:t>
      </w:r>
      <w:r>
        <w:rPr>
          <w:rFonts w:hint="eastAsia" w:ascii="黑体" w:hAnsi="黑体" w:eastAsia="黑体"/>
          <w:b w:val="0"/>
          <w:sz w:val="30"/>
          <w:szCs w:val="30"/>
        </w:rPr>
        <w:t>支出决算</w:t>
      </w:r>
      <w:r>
        <w:rPr>
          <w:rFonts w:ascii="黑体" w:hAnsi="黑体" w:eastAsia="黑体"/>
          <w:b w:val="0"/>
          <w:sz w:val="30"/>
          <w:szCs w:val="30"/>
        </w:rPr>
        <w:t>情况</w:t>
      </w:r>
      <w:bookmarkEnd w:id="24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pStyle w:val="3"/>
        <w:spacing w:before="0" w:after="0" w:line="600" w:lineRule="exact"/>
        <w:ind w:firstLine="600" w:firstLineChars="200"/>
        <w:rPr>
          <w:rFonts w:ascii="楷体" w:hAnsi="楷体" w:eastAsia="楷体" w:cs="楷体"/>
          <w:b w:val="0"/>
          <w:bCs w:val="0"/>
          <w:sz w:val="30"/>
          <w:szCs w:val="30"/>
        </w:rPr>
      </w:pPr>
      <w:bookmarkStart w:id="25" w:name="_Toc18682"/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天津市玉烨装潢设计中心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2021</w:t>
      </w:r>
      <w:r>
        <w:rPr>
          <w:rFonts w:ascii="楷体" w:hAnsi="楷体" w:eastAsia="楷体" w:cs="楷体"/>
          <w:b w:val="0"/>
          <w:bCs w:val="0"/>
          <w:sz w:val="30"/>
          <w:szCs w:val="30"/>
        </w:rPr>
        <w:t>年度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无“三公”经费支出。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楷体" w:hAnsi="楷体" w:eastAsia="楷体" w:cs="仿宋_GB2312"/>
          <w:b w:val="0"/>
          <w:sz w:val="30"/>
          <w:szCs w:val="30"/>
        </w:rPr>
      </w:pPr>
      <w:r>
        <w:rPr>
          <w:rFonts w:hint="eastAsia" w:ascii="黑体" w:hAnsi="黑体" w:eastAsia="黑体"/>
          <w:b w:val="0"/>
          <w:sz w:val="30"/>
          <w:szCs w:val="30"/>
        </w:rPr>
        <w:t>九</w:t>
      </w:r>
      <w:r>
        <w:rPr>
          <w:rFonts w:ascii="黑体" w:hAnsi="黑体" w:eastAsia="黑体"/>
          <w:b w:val="0"/>
          <w:sz w:val="30"/>
          <w:szCs w:val="30"/>
        </w:rPr>
        <w:t>、政府性基金预算财政拨款</w:t>
      </w:r>
      <w:r>
        <w:rPr>
          <w:rFonts w:hint="eastAsia" w:ascii="黑体" w:hAnsi="黑体" w:eastAsia="黑体"/>
          <w:b w:val="0"/>
          <w:sz w:val="30"/>
          <w:szCs w:val="30"/>
        </w:rPr>
        <w:t>收支决算</w:t>
      </w:r>
      <w:r>
        <w:rPr>
          <w:rFonts w:ascii="黑体" w:hAnsi="黑体" w:eastAsia="黑体"/>
          <w:b w:val="0"/>
          <w:sz w:val="30"/>
          <w:szCs w:val="30"/>
        </w:rPr>
        <w:t>情况</w:t>
      </w:r>
      <w:bookmarkEnd w:id="25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2021</w:t>
      </w:r>
      <w:r>
        <w:rPr>
          <w:rFonts w:hint="eastAsia" w:ascii="楷体" w:hAnsi="楷体" w:eastAsia="楷体" w:cs="楷体"/>
          <w:sz w:val="30"/>
          <w:szCs w:val="30"/>
        </w:rPr>
        <w:t>年度无政府性基金预算财政拨款收入、支出和结转结余</w:t>
      </w:r>
    </w:p>
    <w:p>
      <w:pPr>
        <w:pStyle w:val="3"/>
        <w:spacing w:before="0" w:after="0" w:line="600" w:lineRule="exact"/>
        <w:ind w:firstLine="600" w:firstLineChars="200"/>
        <w:rPr>
          <w:rFonts w:hint="eastAsia" w:eastAsia="黑体"/>
          <w:b w:val="0"/>
          <w:sz w:val="30"/>
          <w:szCs w:val="30"/>
        </w:rPr>
      </w:pPr>
      <w:bookmarkStart w:id="26" w:name="_Toc11823"/>
      <w:r>
        <w:rPr>
          <w:rFonts w:hint="eastAsia" w:eastAsia="黑体"/>
          <w:b w:val="0"/>
          <w:sz w:val="30"/>
          <w:szCs w:val="30"/>
        </w:rPr>
        <w:t>十、国有资本经营预算财政拨款收支决算情况</w:t>
      </w:r>
      <w:bookmarkEnd w:id="26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2021</w:t>
      </w:r>
      <w:r>
        <w:rPr>
          <w:rFonts w:hint="eastAsia" w:ascii="楷体" w:hAnsi="楷体" w:eastAsia="楷体" w:cs="楷体"/>
          <w:sz w:val="30"/>
          <w:szCs w:val="30"/>
        </w:rPr>
        <w:t>年度无国有资本经营预算财政拨款收入、支出和结转结余</w:t>
      </w:r>
    </w:p>
    <w:p>
      <w:pPr>
        <w:pStyle w:val="3"/>
        <w:spacing w:before="0" w:after="0" w:line="6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27" w:name="_Toc8800"/>
      <w:r>
        <w:rPr>
          <w:rFonts w:hint="eastAsia" w:ascii="黑体" w:hAnsi="黑体" w:eastAsia="黑体"/>
          <w:b w:val="0"/>
          <w:sz w:val="30"/>
          <w:szCs w:val="30"/>
        </w:rPr>
        <w:t>十一、</w:t>
      </w:r>
      <w:r>
        <w:rPr>
          <w:rFonts w:ascii="黑体" w:hAnsi="黑体" w:eastAsia="黑体"/>
          <w:b w:val="0"/>
          <w:sz w:val="30"/>
          <w:szCs w:val="30"/>
        </w:rPr>
        <w:t>机关运行经费</w:t>
      </w:r>
      <w:r>
        <w:rPr>
          <w:rFonts w:hint="eastAsia" w:ascii="黑体" w:hAnsi="黑体" w:eastAsia="黑体"/>
          <w:b w:val="0"/>
          <w:sz w:val="30"/>
          <w:szCs w:val="30"/>
        </w:rPr>
        <w:t>支出情况</w:t>
      </w:r>
      <w:bookmarkEnd w:id="27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hint="eastAsia" w:eastAsia="楷体"/>
          <w:sz w:val="30"/>
          <w:szCs w:val="30"/>
        </w:rPr>
      </w:pPr>
      <w:r>
        <w:rPr>
          <w:rFonts w:hint="eastAsia" w:eastAsia="楷体"/>
          <w:sz w:val="30"/>
          <w:szCs w:val="30"/>
          <w:lang w:eastAsia="zh-CN"/>
        </w:rPr>
        <w:t>天津市玉烨装潢设计中心</w:t>
      </w:r>
      <w:r>
        <w:rPr>
          <w:rFonts w:hint="eastAsia" w:eastAsia="楷体"/>
          <w:sz w:val="30"/>
          <w:szCs w:val="30"/>
        </w:rPr>
        <w:t>2021</w:t>
      </w:r>
      <w:r>
        <w:rPr>
          <w:rFonts w:eastAsia="楷体"/>
          <w:sz w:val="30"/>
          <w:szCs w:val="30"/>
        </w:rPr>
        <w:t>年度无机关运行经费</w:t>
      </w:r>
    </w:p>
    <w:p>
      <w:pPr>
        <w:pStyle w:val="3"/>
        <w:spacing w:before="0" w:after="0" w:line="600" w:lineRule="exact"/>
        <w:ind w:firstLine="600" w:firstLineChars="200"/>
        <w:rPr>
          <w:rFonts w:ascii="黑体" w:hAnsi="黑体" w:eastAsia="黑体"/>
          <w:b w:val="0"/>
          <w:sz w:val="30"/>
          <w:szCs w:val="30"/>
        </w:rPr>
      </w:pPr>
      <w:bookmarkStart w:id="28" w:name="_Toc8078"/>
      <w:r>
        <w:rPr>
          <w:rFonts w:hint="eastAsia" w:ascii="黑体" w:hAnsi="黑体" w:eastAsia="黑体"/>
          <w:b w:val="0"/>
          <w:sz w:val="30"/>
          <w:szCs w:val="30"/>
        </w:rPr>
        <w:t>十二、</w:t>
      </w:r>
      <w:r>
        <w:rPr>
          <w:rFonts w:ascii="黑体" w:hAnsi="黑体" w:eastAsia="黑体"/>
          <w:b w:val="0"/>
          <w:sz w:val="30"/>
          <w:szCs w:val="30"/>
        </w:rPr>
        <w:t>政府采购</w:t>
      </w:r>
      <w:r>
        <w:rPr>
          <w:rFonts w:hint="eastAsia" w:ascii="黑体" w:hAnsi="黑体" w:eastAsia="黑体"/>
          <w:b w:val="0"/>
          <w:sz w:val="30"/>
          <w:szCs w:val="30"/>
        </w:rPr>
        <w:t>支出</w:t>
      </w:r>
      <w:r>
        <w:rPr>
          <w:rFonts w:ascii="黑体" w:hAnsi="黑体" w:eastAsia="黑体"/>
          <w:b w:val="0"/>
          <w:sz w:val="30"/>
          <w:szCs w:val="30"/>
        </w:rPr>
        <w:t>情况</w:t>
      </w:r>
      <w:bookmarkEnd w:id="28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政府采购支出</w:t>
      </w:r>
      <w:r>
        <w:rPr>
          <w:rFonts w:hint="eastAsia" w:eastAsia="仿宋_GB2312"/>
          <w:sz w:val="30"/>
          <w:szCs w:val="30"/>
        </w:rPr>
        <w:t>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sz w:val="30"/>
          <w:szCs w:val="30"/>
        </w:rPr>
      </w:pPr>
      <w:bookmarkStart w:id="29" w:name="_Toc2866"/>
      <w:r>
        <w:rPr>
          <w:rFonts w:hint="eastAsia" w:ascii="黑体" w:hAnsi="黑体" w:eastAsia="黑体"/>
          <w:b w:val="0"/>
          <w:sz w:val="30"/>
          <w:szCs w:val="30"/>
        </w:rPr>
        <w:t>十三、国有资产占有使用情况</w:t>
      </w:r>
      <w:bookmarkEnd w:id="29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无国有资产占用情况。</w:t>
      </w:r>
    </w:p>
    <w:p>
      <w:pPr>
        <w:pStyle w:val="3"/>
        <w:spacing w:before="0" w:after="0" w:line="600" w:lineRule="exact"/>
        <w:ind w:firstLine="600" w:firstLineChars="200"/>
        <w:rPr>
          <w:rFonts w:hint="eastAsia" w:ascii="黑体" w:hAnsi="黑体" w:eastAsia="黑体"/>
          <w:b w:val="0"/>
          <w:bCs w:val="0"/>
          <w:sz w:val="30"/>
          <w:szCs w:val="30"/>
        </w:rPr>
      </w:pPr>
      <w:bookmarkStart w:id="30" w:name="_Toc3441"/>
      <w:r>
        <w:rPr>
          <w:rFonts w:hint="eastAsia" w:ascii="黑体" w:hAnsi="黑体" w:eastAsia="黑体"/>
          <w:b w:val="0"/>
          <w:bCs w:val="0"/>
          <w:sz w:val="30"/>
          <w:szCs w:val="30"/>
        </w:rPr>
        <w:t>十四、预算绩效情况说明</w:t>
      </w:r>
      <w:bookmarkEnd w:id="30"/>
    </w:p>
    <w:p>
      <w:pPr>
        <w:spacing w:line="600" w:lineRule="exact"/>
        <w:ind w:firstLine="600" w:firstLineChars="200"/>
        <w:rPr>
          <w:rFonts w:hint="eastAsia" w:eastAsia="仿宋_GB2312"/>
          <w:sz w:val="30"/>
          <w:szCs w:val="30"/>
        </w:rPr>
      </w:pPr>
      <w:bookmarkStart w:id="31" w:name="_Toc11040"/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无预算绩效情况。</w:t>
      </w:r>
    </w:p>
    <w:p>
      <w:pPr>
        <w:pStyle w:val="3"/>
        <w:spacing w:before="0" w:after="0" w:line="600" w:lineRule="exact"/>
        <w:ind w:firstLine="600" w:firstLineChars="200"/>
        <w:rPr>
          <w:rFonts w:ascii="Times New Roman" w:hAnsi="Times New Roman" w:eastAsia="黑体"/>
          <w:b w:val="0"/>
          <w:sz w:val="30"/>
          <w:szCs w:val="30"/>
        </w:rPr>
      </w:pPr>
      <w:r>
        <w:rPr>
          <w:rFonts w:hint="eastAsia" w:ascii="Times New Roman" w:hAnsi="Times New Roman" w:eastAsia="黑体"/>
          <w:b w:val="0"/>
          <w:sz w:val="30"/>
          <w:szCs w:val="30"/>
        </w:rPr>
        <w:t>十</w:t>
      </w:r>
      <w:r>
        <w:rPr>
          <w:rFonts w:hint="eastAsia" w:eastAsia="黑体"/>
          <w:b w:val="0"/>
          <w:sz w:val="30"/>
          <w:szCs w:val="30"/>
        </w:rPr>
        <w:t>五</w:t>
      </w:r>
      <w:r>
        <w:rPr>
          <w:rFonts w:hint="eastAsia" w:ascii="Times New Roman" w:hAnsi="Times New Roman" w:eastAsia="黑体"/>
          <w:b w:val="0"/>
          <w:sz w:val="30"/>
          <w:szCs w:val="30"/>
        </w:rPr>
        <w:t>、</w:t>
      </w:r>
      <w:r>
        <w:rPr>
          <w:rFonts w:ascii="Times New Roman" w:hAnsi="Times New Roman" w:eastAsia="黑体"/>
          <w:b w:val="0"/>
          <w:sz w:val="30"/>
          <w:szCs w:val="30"/>
        </w:rPr>
        <w:t>教育、医疗卫生、社会保障和就业、住房保障、涉农补贴等民生支出情况</w:t>
      </w:r>
      <w:bookmarkEnd w:id="31"/>
      <w:r>
        <w:rPr>
          <w:rFonts w:hint="eastAsia" w:ascii="黑体" w:hAnsi="黑体" w:eastAsia="黑体"/>
          <w:b w:val="0"/>
          <w:bCs w:val="0"/>
          <w:sz w:val="30"/>
          <w:szCs w:val="30"/>
        </w:rPr>
        <w:t>说明</w:t>
      </w:r>
    </w:p>
    <w:p>
      <w:pPr>
        <w:spacing w:line="60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2021</w:t>
      </w:r>
      <w:r>
        <w:rPr>
          <w:rFonts w:eastAsia="仿宋_GB2312"/>
          <w:sz w:val="30"/>
          <w:szCs w:val="30"/>
        </w:rPr>
        <w:t>年度，</w:t>
      </w:r>
      <w:r>
        <w:rPr>
          <w:rFonts w:hint="eastAsia" w:eastAsia="仿宋_GB2312"/>
          <w:sz w:val="30"/>
          <w:szCs w:val="30"/>
          <w:lang w:eastAsia="zh-CN"/>
        </w:rPr>
        <w:t>天津市玉烨装潢设计中心</w:t>
      </w:r>
      <w:r>
        <w:rPr>
          <w:rFonts w:hint="eastAsia" w:eastAsia="仿宋_GB2312"/>
          <w:sz w:val="30"/>
          <w:szCs w:val="30"/>
        </w:rPr>
        <w:t>不涉及</w:t>
      </w:r>
      <w:r>
        <w:rPr>
          <w:rFonts w:eastAsia="仿宋_GB2312"/>
          <w:sz w:val="30"/>
          <w:szCs w:val="30"/>
        </w:rPr>
        <w:t>民生支出情况</w:t>
      </w:r>
      <w:r>
        <w:rPr>
          <w:rFonts w:hint="eastAsia" w:eastAsia="仿宋_GB2312"/>
          <w:sz w:val="30"/>
          <w:szCs w:val="30"/>
        </w:rPr>
        <w:t>。</w:t>
      </w:r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B79B7"/>
    <w:multiLevelType w:val="singleLevel"/>
    <w:tmpl w:val="62CB79B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DU3OGZlYzQ5N2FiZWQ4YzJlOTg5OThjN2ZhYTYifQ=="/>
  </w:docVars>
  <w:rsids>
    <w:rsidRoot w:val="5D2236ED"/>
    <w:rsid w:val="0A804B75"/>
    <w:rsid w:val="45A04342"/>
    <w:rsid w:val="49172B6D"/>
    <w:rsid w:val="5D2236ED"/>
    <w:rsid w:val="702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1774</Words>
  <Characters>1971</Characters>
  <Lines>0</Lines>
  <Paragraphs>0</Paragraphs>
  <TotalTime>0</TotalTime>
  <ScaleCrop>false</ScaleCrop>
  <LinksUpToDate>false</LinksUpToDate>
  <CharactersWithSpaces>2161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2023-04-28T03:58:00Z</dcterms:created>
  <dc:creator>阿楠</dc:creator>
  <cp:lastModifiedBy>阿楠</cp:lastModifiedBy>
  <dcterms:modified xsi:type="dcterms:W3CDTF">2023-04-28T04:20:17Z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32D6853089A1498F9459600F7326B53A_11</vt:lpwstr>
  </property>
</Properties>
</file>